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6F0" w:rsidRDefault="0049370A" w:rsidP="00807E9E">
      <w:pPr>
        <w:spacing w:after="32" w:line="240" w:lineRule="auto"/>
        <w:ind w:left="7439" w:hanging="10"/>
      </w:pPr>
      <w:r>
        <w:rPr>
          <w:rFonts w:ascii="Times New Roman" w:eastAsia="Times New Roman" w:hAnsi="Times New Roman" w:cs="Times New Roman"/>
          <w:b/>
          <w:sz w:val="20"/>
        </w:rPr>
        <w:t xml:space="preserve">Додаток №2 </w:t>
      </w:r>
    </w:p>
    <w:p w:rsidR="009B56F0" w:rsidRDefault="0049370A" w:rsidP="00807E9E">
      <w:pPr>
        <w:spacing w:after="318" w:line="240" w:lineRule="auto"/>
        <w:ind w:left="7429"/>
      </w:pPr>
      <w:r>
        <w:rPr>
          <w:rFonts w:ascii="Times New Roman" w:eastAsia="Times New Roman" w:hAnsi="Times New Roman" w:cs="Times New Roman"/>
          <w:sz w:val="20"/>
        </w:rPr>
        <w:t xml:space="preserve">до Договору про постачання  електричної енергії споживачу </w:t>
      </w:r>
    </w:p>
    <w:p w:rsidR="009B56F0" w:rsidRDefault="0049370A" w:rsidP="00807E9E">
      <w:pPr>
        <w:spacing w:after="265" w:line="240" w:lineRule="auto"/>
        <w:ind w:left="68" w:right="1" w:hanging="10"/>
        <w:jc w:val="center"/>
      </w:pPr>
      <w:r>
        <w:rPr>
          <w:rFonts w:ascii="Times New Roman" w:eastAsia="Times New Roman" w:hAnsi="Times New Roman" w:cs="Times New Roman"/>
          <w:b/>
          <w:sz w:val="24"/>
        </w:rPr>
        <w:t>КОМЕРЦІЙНА ПРОПОЗИЦІЯ №</w:t>
      </w:r>
      <w:r w:rsidR="003A1C81">
        <w:rPr>
          <w:rFonts w:ascii="Times New Roman" w:eastAsia="Times New Roman" w:hAnsi="Times New Roman" w:cs="Times New Roman"/>
          <w:b/>
          <w:sz w:val="24"/>
        </w:rPr>
        <w:t>2</w:t>
      </w:r>
      <w:r>
        <w:rPr>
          <w:rFonts w:ascii="Times New Roman" w:eastAsia="Times New Roman" w:hAnsi="Times New Roman" w:cs="Times New Roman"/>
          <w:b/>
          <w:sz w:val="24"/>
        </w:rPr>
        <w:t xml:space="preserve"> </w:t>
      </w:r>
    </w:p>
    <w:p w:rsidR="009B56F0" w:rsidRPr="00807E9E" w:rsidRDefault="0049370A" w:rsidP="00807E9E">
      <w:pPr>
        <w:tabs>
          <w:tab w:val="center" w:pos="5156"/>
        </w:tabs>
        <w:spacing w:after="311" w:line="240" w:lineRule="auto"/>
        <w:rPr>
          <w:sz w:val="18"/>
          <w:szCs w:val="18"/>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sidRPr="00807E9E">
        <w:rPr>
          <w:rFonts w:ascii="Times New Roman" w:eastAsia="Times New Roman" w:hAnsi="Times New Roman" w:cs="Times New Roman"/>
          <w:b/>
          <w:sz w:val="18"/>
          <w:szCs w:val="18"/>
        </w:rPr>
        <w:t xml:space="preserve"> від «01» липня 2019 року </w:t>
      </w:r>
    </w:p>
    <w:p w:rsidR="0049370A" w:rsidRPr="00807E9E" w:rsidRDefault="0049370A" w:rsidP="00807E9E">
      <w:pPr>
        <w:numPr>
          <w:ilvl w:val="0"/>
          <w:numId w:val="1"/>
        </w:numPr>
        <w:spacing w:after="14" w:line="240" w:lineRule="auto"/>
        <w:ind w:left="142" w:right="16" w:hanging="88"/>
        <w:jc w:val="both"/>
        <w:rPr>
          <w:sz w:val="18"/>
          <w:szCs w:val="18"/>
        </w:rPr>
      </w:pPr>
      <w:r w:rsidRPr="00807E9E">
        <w:rPr>
          <w:rFonts w:ascii="Times New Roman" w:eastAsia="Times New Roman" w:hAnsi="Times New Roman" w:cs="Times New Roman"/>
          <w:b/>
          <w:sz w:val="18"/>
          <w:szCs w:val="18"/>
        </w:rPr>
        <w:t xml:space="preserve">Критерії відповідності особи (підприємства або організації), що обирає дану комерційну пропозицію: </w:t>
      </w:r>
    </w:p>
    <w:p w:rsidR="009B56F0" w:rsidRPr="00807E9E" w:rsidRDefault="003A1C81" w:rsidP="00807E9E">
      <w:pPr>
        <w:pStyle w:val="a5"/>
        <w:numPr>
          <w:ilvl w:val="0"/>
          <w:numId w:val="4"/>
        </w:numPr>
        <w:spacing w:after="0" w:line="240" w:lineRule="auto"/>
        <w:ind w:left="714" w:hanging="357"/>
        <w:jc w:val="both"/>
        <w:rPr>
          <w:sz w:val="18"/>
          <w:szCs w:val="18"/>
        </w:rPr>
      </w:pPr>
      <w:r w:rsidRPr="00807E9E">
        <w:rPr>
          <w:rFonts w:ascii="Times New Roman" w:eastAsia="Times New Roman" w:hAnsi="Times New Roman" w:cs="Times New Roman"/>
          <w:b/>
          <w:sz w:val="18"/>
          <w:szCs w:val="18"/>
        </w:rPr>
        <w:t xml:space="preserve"> </w:t>
      </w:r>
      <w:r w:rsidR="0049370A" w:rsidRPr="00807E9E">
        <w:rPr>
          <w:rFonts w:ascii="Times New Roman" w:eastAsia="Times New Roman" w:hAnsi="Times New Roman" w:cs="Times New Roman"/>
          <w:b/>
          <w:sz w:val="18"/>
          <w:szCs w:val="18"/>
        </w:rPr>
        <w:t>«НАЯВНІСТЬ ДОГОВОРУ З ОПЕРАТОРОМ СИСТЕМИ РОЗПОДІЛУ».</w:t>
      </w:r>
      <w:r w:rsidR="0049370A" w:rsidRPr="00807E9E">
        <w:rPr>
          <w:rFonts w:ascii="Times New Roman" w:eastAsia="Times New Roman" w:hAnsi="Times New Roman" w:cs="Times New Roman"/>
          <w:sz w:val="18"/>
          <w:szCs w:val="18"/>
        </w:rPr>
        <w:t xml:space="preserve"> </w:t>
      </w:r>
      <w:r w:rsidR="0049370A" w:rsidRPr="00807E9E">
        <w:rPr>
          <w:rFonts w:ascii="Times New Roman" w:eastAsia="Times New Roman" w:hAnsi="Times New Roman" w:cs="Times New Roman"/>
          <w:i/>
          <w:sz w:val="18"/>
          <w:szCs w:val="18"/>
        </w:rPr>
        <w:t>Наявність в споживача укладеного з оператором системи договору про надання послуг з розподілу.</w:t>
      </w:r>
      <w:r w:rsidR="0049370A" w:rsidRPr="00807E9E">
        <w:rPr>
          <w:rFonts w:ascii="Times New Roman" w:eastAsia="Times New Roman" w:hAnsi="Times New Roman" w:cs="Times New Roman"/>
          <w:sz w:val="18"/>
          <w:szCs w:val="18"/>
        </w:rPr>
        <w:t xml:space="preserve"> </w:t>
      </w:r>
    </w:p>
    <w:p w:rsidR="009B56F0" w:rsidRPr="00807E9E" w:rsidRDefault="0049370A" w:rsidP="00807E9E">
      <w:pPr>
        <w:pStyle w:val="a5"/>
        <w:numPr>
          <w:ilvl w:val="0"/>
          <w:numId w:val="4"/>
        </w:numPr>
        <w:spacing w:after="0" w:line="240" w:lineRule="auto"/>
        <w:ind w:left="714" w:hanging="357"/>
        <w:jc w:val="both"/>
        <w:rPr>
          <w:sz w:val="18"/>
          <w:szCs w:val="18"/>
        </w:rPr>
      </w:pPr>
      <w:r w:rsidRPr="00807E9E">
        <w:rPr>
          <w:rFonts w:ascii="Times New Roman" w:eastAsia="Times New Roman" w:hAnsi="Times New Roman" w:cs="Times New Roman"/>
          <w:b/>
          <w:sz w:val="18"/>
          <w:szCs w:val="18"/>
        </w:rPr>
        <w:t>«БЕЗ БОРГУ».</w:t>
      </w:r>
      <w:r w:rsidRPr="00807E9E">
        <w:rPr>
          <w:rFonts w:ascii="Times New Roman" w:eastAsia="Times New Roman" w:hAnsi="Times New Roman" w:cs="Times New Roman"/>
          <w:sz w:val="18"/>
          <w:szCs w:val="18"/>
        </w:rPr>
        <w:t xml:space="preserve"> </w:t>
      </w:r>
      <w:r w:rsidRPr="00807E9E">
        <w:rPr>
          <w:rFonts w:ascii="Times New Roman" w:eastAsia="Times New Roman" w:hAnsi="Times New Roman" w:cs="Times New Roman"/>
          <w:i/>
          <w:sz w:val="18"/>
          <w:szCs w:val="18"/>
        </w:rPr>
        <w:t>Відсутність заборгованості перед попереднім Постачальником за спожиту електричну енергію.</w:t>
      </w:r>
      <w:r w:rsidRPr="00807E9E">
        <w:rPr>
          <w:rFonts w:ascii="Times New Roman" w:eastAsia="Times New Roman" w:hAnsi="Times New Roman" w:cs="Times New Roman"/>
          <w:sz w:val="18"/>
          <w:szCs w:val="18"/>
        </w:rPr>
        <w:t xml:space="preserve"> </w:t>
      </w:r>
    </w:p>
    <w:p w:rsidR="009B56F0" w:rsidRPr="003A1C81" w:rsidRDefault="0049370A" w:rsidP="003A1C81">
      <w:pPr>
        <w:pStyle w:val="a5"/>
        <w:numPr>
          <w:ilvl w:val="0"/>
          <w:numId w:val="4"/>
        </w:numPr>
        <w:spacing w:after="304" w:line="240" w:lineRule="auto"/>
        <w:ind w:left="709" w:hanging="357"/>
        <w:jc w:val="both"/>
        <w:rPr>
          <w:sz w:val="18"/>
          <w:szCs w:val="18"/>
        </w:rPr>
      </w:pPr>
      <w:r w:rsidRPr="003A1C81">
        <w:rPr>
          <w:rFonts w:ascii="Times New Roman" w:eastAsia="Times New Roman" w:hAnsi="Times New Roman" w:cs="Times New Roman"/>
          <w:b/>
          <w:sz w:val="18"/>
          <w:szCs w:val="18"/>
        </w:rPr>
        <w:t>«ДЛЯ ВЛАСНОГО СПОЖИВАННЯ».</w:t>
      </w:r>
      <w:r w:rsidRPr="003A1C81">
        <w:rPr>
          <w:rFonts w:ascii="Times New Roman" w:eastAsia="Times New Roman" w:hAnsi="Times New Roman" w:cs="Times New Roman"/>
          <w:sz w:val="18"/>
          <w:szCs w:val="18"/>
        </w:rPr>
        <w:t xml:space="preserve"> </w:t>
      </w:r>
      <w:r w:rsidRPr="003A1C81">
        <w:rPr>
          <w:rFonts w:ascii="Times New Roman" w:eastAsia="Times New Roman" w:hAnsi="Times New Roman" w:cs="Times New Roman"/>
          <w:i/>
          <w:sz w:val="18"/>
          <w:szCs w:val="18"/>
        </w:rPr>
        <w:t xml:space="preserve">Особа (підприємство або організація), яка є  власником (користувачем) </w:t>
      </w:r>
      <w:proofErr w:type="spellStart"/>
      <w:r w:rsidRPr="003A1C81">
        <w:rPr>
          <w:rFonts w:ascii="Times New Roman" w:eastAsia="Times New Roman" w:hAnsi="Times New Roman" w:cs="Times New Roman"/>
          <w:i/>
          <w:sz w:val="18"/>
          <w:szCs w:val="18"/>
        </w:rPr>
        <w:t>обʼєкта</w:t>
      </w:r>
      <w:proofErr w:type="spellEnd"/>
      <w:r w:rsidRPr="003A1C81">
        <w:rPr>
          <w:rFonts w:ascii="Times New Roman" w:eastAsia="Times New Roman" w:hAnsi="Times New Roman" w:cs="Times New Roman"/>
          <w:i/>
          <w:sz w:val="18"/>
          <w:szCs w:val="18"/>
        </w:rPr>
        <w:t xml:space="preserve"> </w:t>
      </w:r>
      <w:bookmarkStart w:id="0" w:name="_GoBack"/>
      <w:bookmarkEnd w:id="0"/>
      <w:r w:rsidRPr="003A1C81">
        <w:rPr>
          <w:rFonts w:ascii="Times New Roman" w:eastAsia="Times New Roman" w:hAnsi="Times New Roman" w:cs="Times New Roman"/>
          <w:i/>
          <w:sz w:val="18"/>
          <w:szCs w:val="18"/>
        </w:rPr>
        <w:t xml:space="preserve">електроспоживання, купує електричну енергію для власного споживання. </w:t>
      </w:r>
      <w:r w:rsidRPr="003A1C81">
        <w:rPr>
          <w:rFonts w:ascii="Times New Roman" w:eastAsia="Times New Roman" w:hAnsi="Times New Roman" w:cs="Times New Roman"/>
          <w:sz w:val="18"/>
          <w:szCs w:val="18"/>
        </w:rPr>
        <w:t xml:space="preserve"> </w:t>
      </w:r>
    </w:p>
    <w:p w:rsidR="009B56F0" w:rsidRPr="00807E9E" w:rsidRDefault="0049370A" w:rsidP="00807E9E">
      <w:pPr>
        <w:numPr>
          <w:ilvl w:val="0"/>
          <w:numId w:val="1"/>
        </w:numPr>
        <w:spacing w:after="32" w:line="240" w:lineRule="auto"/>
        <w:ind w:right="16" w:hanging="567"/>
        <w:jc w:val="both"/>
        <w:rPr>
          <w:sz w:val="18"/>
          <w:szCs w:val="18"/>
        </w:rPr>
      </w:pPr>
      <w:r w:rsidRPr="00807E9E">
        <w:rPr>
          <w:rFonts w:ascii="Times New Roman" w:eastAsia="Times New Roman" w:hAnsi="Times New Roman" w:cs="Times New Roman"/>
          <w:b/>
          <w:sz w:val="18"/>
          <w:szCs w:val="18"/>
        </w:rPr>
        <w:t xml:space="preserve">Умови комерційної пропозиції: </w:t>
      </w:r>
    </w:p>
    <w:tbl>
      <w:tblPr>
        <w:tblStyle w:val="TableGrid"/>
        <w:tblW w:w="10459" w:type="dxa"/>
        <w:tblInd w:w="-50" w:type="dxa"/>
        <w:tblCellMar>
          <w:top w:w="48" w:type="dxa"/>
          <w:left w:w="50" w:type="dxa"/>
          <w:right w:w="9" w:type="dxa"/>
        </w:tblCellMar>
        <w:tblLook w:val="04A0" w:firstRow="1" w:lastRow="0" w:firstColumn="1" w:lastColumn="0" w:noHBand="0" w:noVBand="1"/>
      </w:tblPr>
      <w:tblGrid>
        <w:gridCol w:w="1501"/>
        <w:gridCol w:w="8958"/>
      </w:tblGrid>
      <w:tr w:rsidR="009B56F0" w:rsidRPr="00807E9E" w:rsidTr="003A1C81">
        <w:trPr>
          <w:trHeight w:val="6503"/>
        </w:trPr>
        <w:tc>
          <w:tcPr>
            <w:tcW w:w="1501" w:type="dxa"/>
            <w:tcBorders>
              <w:top w:val="single" w:sz="4" w:space="0" w:color="000000"/>
              <w:left w:val="single" w:sz="4" w:space="0" w:color="000000"/>
              <w:bottom w:val="single" w:sz="4" w:space="0" w:color="000000"/>
              <w:right w:val="single" w:sz="4" w:space="0" w:color="000000"/>
            </w:tcBorders>
          </w:tcPr>
          <w:p w:rsidR="009B56F0" w:rsidRPr="00807E9E" w:rsidRDefault="0049370A" w:rsidP="00807E9E">
            <w:pPr>
              <w:spacing w:after="301"/>
              <w:ind w:right="43"/>
              <w:jc w:val="center"/>
              <w:rPr>
                <w:sz w:val="18"/>
                <w:szCs w:val="18"/>
              </w:rPr>
            </w:pPr>
            <w:r w:rsidRPr="00807E9E">
              <w:rPr>
                <w:rFonts w:ascii="Times New Roman" w:eastAsia="Times New Roman" w:hAnsi="Times New Roman" w:cs="Times New Roman"/>
                <w:b/>
                <w:sz w:val="18"/>
                <w:szCs w:val="18"/>
              </w:rPr>
              <w:t xml:space="preserve">Ціна </w:t>
            </w:r>
          </w:p>
          <w:p w:rsidR="009B56F0" w:rsidRPr="00807E9E" w:rsidRDefault="009B56F0" w:rsidP="00807E9E">
            <w:pPr>
              <w:jc w:val="center"/>
              <w:rPr>
                <w:sz w:val="18"/>
                <w:szCs w:val="18"/>
              </w:rPr>
            </w:pPr>
          </w:p>
        </w:tc>
        <w:tc>
          <w:tcPr>
            <w:tcW w:w="8958" w:type="dxa"/>
            <w:tcBorders>
              <w:top w:val="single" w:sz="4" w:space="0" w:color="000000"/>
              <w:left w:val="single" w:sz="4" w:space="0" w:color="000000"/>
              <w:bottom w:val="single" w:sz="4" w:space="0" w:color="000000"/>
              <w:right w:val="single" w:sz="4" w:space="0" w:color="000000"/>
            </w:tcBorders>
          </w:tcPr>
          <w:p w:rsidR="009B56F0" w:rsidRPr="00807E9E" w:rsidRDefault="0049370A" w:rsidP="00E42191">
            <w:pPr>
              <w:ind w:right="48" w:firstLine="197"/>
              <w:jc w:val="both"/>
              <w:rPr>
                <w:sz w:val="18"/>
                <w:szCs w:val="18"/>
              </w:rPr>
            </w:pPr>
            <w:r w:rsidRPr="00807E9E">
              <w:rPr>
                <w:rFonts w:ascii="Times New Roman" w:eastAsia="Times New Roman" w:hAnsi="Times New Roman" w:cs="Times New Roman"/>
                <w:sz w:val="18"/>
                <w:szCs w:val="18"/>
              </w:rPr>
              <w:t>Ціна на електричну енергію (без ПДВ), що постачається споживачу та розраховується Постачальником щомісячно відповідно до формули та зазначається в розрахунковому документі, виставленому за підсумком розрахункового періоду:</w:t>
            </w:r>
            <w:r w:rsidRPr="00807E9E">
              <w:rPr>
                <w:rFonts w:ascii="Times New Roman" w:eastAsia="Times New Roman" w:hAnsi="Times New Roman" w:cs="Times New Roman"/>
                <w:b/>
                <w:i/>
                <w:sz w:val="18"/>
                <w:szCs w:val="18"/>
              </w:rPr>
              <w:t xml:space="preserve"> </w:t>
            </w:r>
          </w:p>
          <w:p w:rsidR="009B56F0" w:rsidRPr="00807E9E" w:rsidRDefault="0049370A" w:rsidP="00E42191">
            <w:pPr>
              <w:spacing w:after="424"/>
              <w:ind w:left="1082" w:firstLine="197"/>
              <w:rPr>
                <w:sz w:val="18"/>
                <w:szCs w:val="18"/>
              </w:rPr>
            </w:pPr>
            <w:r w:rsidRPr="00807E9E">
              <w:rPr>
                <w:noProof/>
                <w:sz w:val="18"/>
                <w:szCs w:val="18"/>
                <w:lang w:val="en-US" w:eastAsia="en-US"/>
              </w:rPr>
              <w:drawing>
                <wp:inline distT="0" distB="0" distL="0" distR="0">
                  <wp:extent cx="3510915" cy="48323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5"/>
                          <a:stretch>
                            <a:fillRect/>
                          </a:stretch>
                        </pic:blipFill>
                        <pic:spPr>
                          <a:xfrm>
                            <a:off x="0" y="0"/>
                            <a:ext cx="3510915" cy="483235"/>
                          </a:xfrm>
                          <a:prstGeom prst="rect">
                            <a:avLst/>
                          </a:prstGeom>
                        </pic:spPr>
                      </pic:pic>
                    </a:graphicData>
                  </a:graphic>
                </wp:inline>
              </w:drawing>
            </w:r>
          </w:p>
          <w:p w:rsidR="009B56F0" w:rsidRPr="00807E9E" w:rsidRDefault="0049370A" w:rsidP="00E42191">
            <w:pPr>
              <w:spacing w:after="7"/>
              <w:ind w:left="375" w:right="1659" w:firstLine="197"/>
              <w:jc w:val="both"/>
              <w:rPr>
                <w:sz w:val="18"/>
                <w:szCs w:val="18"/>
              </w:rPr>
            </w:pPr>
            <w:r w:rsidRPr="00807E9E">
              <w:rPr>
                <w:rFonts w:ascii="Times New Roman" w:eastAsia="Times New Roman" w:hAnsi="Times New Roman" w:cs="Times New Roman"/>
                <w:sz w:val="18"/>
                <w:szCs w:val="18"/>
              </w:rPr>
              <w:t>де</w:t>
            </w:r>
            <w:r w:rsidRPr="00807E9E">
              <w:rPr>
                <w:rFonts w:ascii="Times New Roman" w:eastAsia="Times New Roman" w:hAnsi="Times New Roman" w:cs="Times New Roman"/>
                <w:b/>
                <w:i/>
                <w:sz w:val="18"/>
                <w:szCs w:val="18"/>
              </w:rPr>
              <w:t xml:space="preserve">  Ц – </w:t>
            </w:r>
            <w:r w:rsidRPr="00807E9E">
              <w:rPr>
                <w:rFonts w:ascii="Times New Roman" w:eastAsia="Times New Roman" w:hAnsi="Times New Roman" w:cs="Times New Roman"/>
                <w:i/>
                <w:sz w:val="18"/>
                <w:szCs w:val="18"/>
              </w:rPr>
              <w:t xml:space="preserve">ціна за 1 </w:t>
            </w:r>
            <w:proofErr w:type="spellStart"/>
            <w:r w:rsidRPr="00807E9E">
              <w:rPr>
                <w:rFonts w:ascii="Times New Roman" w:eastAsia="Times New Roman" w:hAnsi="Times New Roman" w:cs="Times New Roman"/>
                <w:i/>
                <w:sz w:val="18"/>
                <w:szCs w:val="18"/>
              </w:rPr>
              <w:t>кВт.год</w:t>
            </w:r>
            <w:proofErr w:type="spellEnd"/>
            <w:r w:rsidRPr="00807E9E">
              <w:rPr>
                <w:rFonts w:ascii="Times New Roman" w:eastAsia="Times New Roman" w:hAnsi="Times New Roman" w:cs="Times New Roman"/>
                <w:i/>
                <w:sz w:val="18"/>
                <w:szCs w:val="18"/>
              </w:rPr>
              <w:t xml:space="preserve">. електричної енергії, що постачається Споживачу; </w:t>
            </w:r>
          </w:p>
          <w:p w:rsidR="009B56F0" w:rsidRPr="00807E9E" w:rsidRDefault="0049370A" w:rsidP="00E42191">
            <w:pPr>
              <w:spacing w:after="37"/>
              <w:ind w:left="375" w:firstLine="197"/>
              <w:rPr>
                <w:sz w:val="18"/>
                <w:szCs w:val="18"/>
              </w:rPr>
            </w:pPr>
            <w:r w:rsidRPr="00807E9E">
              <w:rPr>
                <w:rFonts w:ascii="Times New Roman" w:eastAsia="Times New Roman" w:hAnsi="Times New Roman" w:cs="Times New Roman"/>
                <w:b/>
                <w:i/>
                <w:sz w:val="18"/>
                <w:szCs w:val="18"/>
              </w:rPr>
              <w:t>Ц</w:t>
            </w:r>
            <w:r w:rsidRPr="00807E9E">
              <w:rPr>
                <w:rFonts w:ascii="Times New Roman" w:eastAsia="Times New Roman" w:hAnsi="Times New Roman" w:cs="Times New Roman"/>
                <w:b/>
                <w:i/>
                <w:sz w:val="18"/>
                <w:szCs w:val="18"/>
                <w:vertAlign w:val="subscript"/>
              </w:rPr>
              <w:t>прог1 –</w:t>
            </w:r>
            <w:r w:rsidRPr="00807E9E">
              <w:rPr>
                <w:rFonts w:ascii="Times New Roman" w:eastAsia="Times New Roman" w:hAnsi="Times New Roman" w:cs="Times New Roman"/>
                <w:b/>
                <w:i/>
                <w:sz w:val="18"/>
                <w:szCs w:val="18"/>
              </w:rPr>
              <w:t xml:space="preserve"> </w:t>
            </w:r>
            <w:r w:rsidRPr="00807E9E">
              <w:rPr>
                <w:rFonts w:ascii="Times New Roman" w:eastAsia="Times New Roman" w:hAnsi="Times New Roman" w:cs="Times New Roman"/>
                <w:i/>
                <w:sz w:val="18"/>
                <w:szCs w:val="18"/>
              </w:rPr>
              <w:t xml:space="preserve">прогнозована ціна електричної енергії на розрахунковий період; </w:t>
            </w:r>
          </w:p>
          <w:p w:rsidR="009B56F0" w:rsidRPr="00807E9E" w:rsidRDefault="0049370A" w:rsidP="00E42191">
            <w:pPr>
              <w:spacing w:after="2"/>
              <w:ind w:left="375" w:firstLine="197"/>
              <w:rPr>
                <w:sz w:val="18"/>
                <w:szCs w:val="18"/>
              </w:rPr>
            </w:pPr>
            <w:r w:rsidRPr="00807E9E">
              <w:rPr>
                <w:rFonts w:ascii="Times New Roman" w:eastAsia="Times New Roman" w:hAnsi="Times New Roman" w:cs="Times New Roman"/>
                <w:b/>
                <w:i/>
                <w:sz w:val="18"/>
                <w:szCs w:val="18"/>
              </w:rPr>
              <w:t>Ц</w:t>
            </w:r>
            <w:r w:rsidRPr="00807E9E">
              <w:rPr>
                <w:rFonts w:ascii="Times New Roman" w:eastAsia="Times New Roman" w:hAnsi="Times New Roman" w:cs="Times New Roman"/>
                <w:b/>
                <w:i/>
                <w:sz w:val="18"/>
                <w:szCs w:val="18"/>
                <w:vertAlign w:val="subscript"/>
              </w:rPr>
              <w:t>прог2 –</w:t>
            </w:r>
            <w:r w:rsidRPr="00807E9E">
              <w:rPr>
                <w:rFonts w:ascii="Times New Roman" w:eastAsia="Times New Roman" w:hAnsi="Times New Roman" w:cs="Times New Roman"/>
                <w:b/>
                <w:i/>
                <w:sz w:val="18"/>
                <w:szCs w:val="18"/>
              </w:rPr>
              <w:t xml:space="preserve"> </w:t>
            </w:r>
            <w:r w:rsidRPr="00807E9E">
              <w:rPr>
                <w:rFonts w:ascii="Times New Roman" w:eastAsia="Times New Roman" w:hAnsi="Times New Roman" w:cs="Times New Roman"/>
                <w:i/>
                <w:sz w:val="18"/>
                <w:szCs w:val="18"/>
              </w:rPr>
              <w:t xml:space="preserve">прогнозована ціна електричної енергії у попередньому розрахунковому періоді; </w:t>
            </w:r>
          </w:p>
          <w:p w:rsidR="009B56F0" w:rsidRPr="00807E9E" w:rsidRDefault="0049370A" w:rsidP="00E42191">
            <w:pPr>
              <w:ind w:left="375" w:firstLine="197"/>
              <w:jc w:val="both"/>
              <w:rPr>
                <w:sz w:val="18"/>
                <w:szCs w:val="18"/>
              </w:rPr>
            </w:pPr>
            <w:proofErr w:type="spellStart"/>
            <w:r w:rsidRPr="00807E9E">
              <w:rPr>
                <w:rFonts w:ascii="Times New Roman" w:eastAsia="Times New Roman" w:hAnsi="Times New Roman" w:cs="Times New Roman"/>
                <w:b/>
                <w:i/>
                <w:sz w:val="18"/>
                <w:szCs w:val="18"/>
              </w:rPr>
              <w:t>Ц</w:t>
            </w:r>
            <w:r w:rsidRPr="00807E9E">
              <w:rPr>
                <w:rFonts w:ascii="Times New Roman" w:eastAsia="Times New Roman" w:hAnsi="Times New Roman" w:cs="Times New Roman"/>
                <w:b/>
                <w:i/>
                <w:sz w:val="18"/>
                <w:szCs w:val="18"/>
                <w:vertAlign w:val="subscript"/>
              </w:rPr>
              <w:t>факт</w:t>
            </w:r>
            <w:proofErr w:type="spellEnd"/>
            <w:r w:rsidRPr="00807E9E">
              <w:rPr>
                <w:rFonts w:ascii="Times New Roman" w:eastAsia="Times New Roman" w:hAnsi="Times New Roman" w:cs="Times New Roman"/>
                <w:b/>
                <w:i/>
                <w:sz w:val="18"/>
                <w:szCs w:val="18"/>
                <w:vertAlign w:val="subscript"/>
              </w:rPr>
              <w:t xml:space="preserve"> –</w:t>
            </w:r>
            <w:r w:rsidRPr="00807E9E">
              <w:rPr>
                <w:rFonts w:ascii="Times New Roman" w:eastAsia="Times New Roman" w:hAnsi="Times New Roman" w:cs="Times New Roman"/>
                <w:b/>
                <w:i/>
                <w:sz w:val="18"/>
                <w:szCs w:val="18"/>
              </w:rPr>
              <w:t xml:space="preserve"> </w:t>
            </w:r>
            <w:r w:rsidRPr="00807E9E">
              <w:rPr>
                <w:rFonts w:ascii="Times New Roman" w:eastAsia="Times New Roman" w:hAnsi="Times New Roman" w:cs="Times New Roman"/>
                <w:i/>
                <w:sz w:val="18"/>
                <w:szCs w:val="18"/>
              </w:rPr>
              <w:t xml:space="preserve">фактична ціна купленої електричної енергії у попередньому розрахунковому періоді, що розраховується за формулою: </w:t>
            </w:r>
          </w:p>
          <w:p w:rsidR="009B56F0" w:rsidRPr="00807E9E" w:rsidRDefault="0049370A" w:rsidP="00E42191">
            <w:pPr>
              <w:spacing w:after="134"/>
              <w:ind w:right="1024" w:firstLine="197"/>
              <w:jc w:val="center"/>
              <w:rPr>
                <w:sz w:val="18"/>
                <w:szCs w:val="18"/>
              </w:rPr>
            </w:pPr>
            <w:r w:rsidRPr="00807E9E">
              <w:rPr>
                <w:noProof/>
                <w:sz w:val="18"/>
                <w:szCs w:val="18"/>
                <w:lang w:val="en-US" w:eastAsia="en-US"/>
              </w:rPr>
              <w:drawing>
                <wp:inline distT="0" distB="0" distL="0" distR="0">
                  <wp:extent cx="3130550" cy="342900"/>
                  <wp:effectExtent l="0" t="0" r="0" b="0"/>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6"/>
                          <a:stretch>
                            <a:fillRect/>
                          </a:stretch>
                        </pic:blipFill>
                        <pic:spPr>
                          <a:xfrm>
                            <a:off x="0" y="0"/>
                            <a:ext cx="3130550" cy="342900"/>
                          </a:xfrm>
                          <a:prstGeom prst="rect">
                            <a:avLst/>
                          </a:prstGeom>
                        </pic:spPr>
                      </pic:pic>
                    </a:graphicData>
                  </a:graphic>
                </wp:inline>
              </w:drawing>
            </w:r>
          </w:p>
          <w:p w:rsidR="009B56F0" w:rsidRPr="00807E9E" w:rsidRDefault="0049370A" w:rsidP="00E42191">
            <w:pPr>
              <w:spacing w:after="4"/>
              <w:ind w:left="375" w:firstLine="197"/>
              <w:rPr>
                <w:sz w:val="18"/>
                <w:szCs w:val="18"/>
              </w:rPr>
            </w:pPr>
            <w:proofErr w:type="spellStart"/>
            <w:r w:rsidRPr="00807E9E">
              <w:rPr>
                <w:rFonts w:ascii="Times New Roman" w:eastAsia="Times New Roman" w:hAnsi="Times New Roman" w:cs="Times New Roman"/>
                <w:b/>
                <w:i/>
                <w:sz w:val="18"/>
                <w:szCs w:val="18"/>
              </w:rPr>
              <w:t>Ц</w:t>
            </w:r>
            <w:r w:rsidRPr="00807E9E">
              <w:rPr>
                <w:rFonts w:ascii="Times New Roman" w:eastAsia="Times New Roman" w:hAnsi="Times New Roman" w:cs="Times New Roman"/>
                <w:b/>
                <w:i/>
                <w:sz w:val="18"/>
                <w:szCs w:val="18"/>
                <w:vertAlign w:val="subscript"/>
              </w:rPr>
              <w:t>рдд</w:t>
            </w:r>
            <w:proofErr w:type="spellEnd"/>
            <w:r w:rsidRPr="00807E9E">
              <w:rPr>
                <w:rFonts w:ascii="Times New Roman" w:eastAsia="Times New Roman" w:hAnsi="Times New Roman" w:cs="Times New Roman"/>
                <w:i/>
                <w:sz w:val="18"/>
                <w:szCs w:val="18"/>
              </w:rPr>
              <w:t xml:space="preserve"> - ціна, що склалась на ринку </w:t>
            </w:r>
            <w:proofErr w:type="spellStart"/>
            <w:r w:rsidRPr="00807E9E">
              <w:rPr>
                <w:rFonts w:ascii="Times New Roman" w:eastAsia="Times New Roman" w:hAnsi="Times New Roman" w:cs="Times New Roman"/>
                <w:i/>
                <w:sz w:val="18"/>
                <w:szCs w:val="18"/>
              </w:rPr>
              <w:t>двохсторонніх</w:t>
            </w:r>
            <w:proofErr w:type="spellEnd"/>
            <w:r w:rsidRPr="00807E9E">
              <w:rPr>
                <w:rFonts w:ascii="Times New Roman" w:eastAsia="Times New Roman" w:hAnsi="Times New Roman" w:cs="Times New Roman"/>
                <w:i/>
                <w:sz w:val="18"/>
                <w:szCs w:val="18"/>
              </w:rPr>
              <w:t xml:space="preserve"> договорів в попередньому розрахунковому місяці; </w:t>
            </w:r>
          </w:p>
          <w:p w:rsidR="009B56F0" w:rsidRPr="00807E9E" w:rsidRDefault="0049370A" w:rsidP="00E42191">
            <w:pPr>
              <w:spacing w:after="16"/>
              <w:ind w:left="375" w:firstLine="197"/>
              <w:rPr>
                <w:sz w:val="18"/>
                <w:szCs w:val="18"/>
              </w:rPr>
            </w:pPr>
            <w:proofErr w:type="spellStart"/>
            <w:r w:rsidRPr="00807E9E">
              <w:rPr>
                <w:rFonts w:ascii="Times New Roman" w:eastAsia="Times New Roman" w:hAnsi="Times New Roman" w:cs="Times New Roman"/>
                <w:b/>
                <w:i/>
                <w:sz w:val="18"/>
                <w:szCs w:val="18"/>
              </w:rPr>
              <w:t>Ц</w:t>
            </w:r>
            <w:r w:rsidRPr="00807E9E">
              <w:rPr>
                <w:rFonts w:ascii="Times New Roman" w:eastAsia="Times New Roman" w:hAnsi="Times New Roman" w:cs="Times New Roman"/>
                <w:b/>
                <w:i/>
                <w:sz w:val="18"/>
                <w:szCs w:val="18"/>
                <w:vertAlign w:val="subscript"/>
              </w:rPr>
              <w:t>рдн</w:t>
            </w:r>
            <w:proofErr w:type="spellEnd"/>
            <w:r w:rsidRPr="00807E9E">
              <w:rPr>
                <w:rFonts w:ascii="Times New Roman" w:eastAsia="Times New Roman" w:hAnsi="Times New Roman" w:cs="Times New Roman"/>
                <w:i/>
                <w:sz w:val="18"/>
                <w:szCs w:val="18"/>
              </w:rPr>
              <w:t xml:space="preserve"> - ціна, що склалась на ринку" доба на перед" в попередньому розрахунковому місяці; </w:t>
            </w:r>
          </w:p>
          <w:p w:rsidR="009B56F0" w:rsidRPr="00807E9E" w:rsidRDefault="0049370A" w:rsidP="00E42191">
            <w:pPr>
              <w:spacing w:after="17"/>
              <w:ind w:left="375" w:firstLine="197"/>
              <w:rPr>
                <w:sz w:val="18"/>
                <w:szCs w:val="18"/>
              </w:rPr>
            </w:pPr>
            <w:proofErr w:type="spellStart"/>
            <w:r w:rsidRPr="00807E9E">
              <w:rPr>
                <w:rFonts w:ascii="Times New Roman" w:eastAsia="Times New Roman" w:hAnsi="Times New Roman" w:cs="Times New Roman"/>
                <w:b/>
                <w:i/>
                <w:sz w:val="18"/>
                <w:szCs w:val="18"/>
              </w:rPr>
              <w:t>Ц</w:t>
            </w:r>
            <w:r w:rsidRPr="00807E9E">
              <w:rPr>
                <w:rFonts w:ascii="Times New Roman" w:eastAsia="Times New Roman" w:hAnsi="Times New Roman" w:cs="Times New Roman"/>
                <w:b/>
                <w:i/>
                <w:sz w:val="18"/>
                <w:szCs w:val="18"/>
                <w:vertAlign w:val="subscript"/>
              </w:rPr>
              <w:t>вд</w:t>
            </w:r>
            <w:proofErr w:type="spellEnd"/>
            <w:r w:rsidRPr="00807E9E">
              <w:rPr>
                <w:rFonts w:ascii="Times New Roman" w:eastAsia="Times New Roman" w:hAnsi="Times New Roman" w:cs="Times New Roman"/>
                <w:i/>
                <w:sz w:val="18"/>
                <w:szCs w:val="18"/>
              </w:rPr>
              <w:t xml:space="preserve"> - ціна, що склалась на внутрішньо добовому ринку в попередньому розрахунковому місяці; </w:t>
            </w:r>
          </w:p>
          <w:p w:rsidR="009B56F0" w:rsidRPr="00807E9E" w:rsidRDefault="0049370A" w:rsidP="00E42191">
            <w:pPr>
              <w:spacing w:after="19"/>
              <w:ind w:left="375" w:firstLine="197"/>
              <w:rPr>
                <w:sz w:val="18"/>
                <w:szCs w:val="18"/>
              </w:rPr>
            </w:pPr>
            <w:proofErr w:type="spellStart"/>
            <w:r w:rsidRPr="00807E9E">
              <w:rPr>
                <w:rFonts w:ascii="Times New Roman" w:eastAsia="Times New Roman" w:hAnsi="Times New Roman" w:cs="Times New Roman"/>
                <w:b/>
                <w:i/>
                <w:sz w:val="18"/>
                <w:szCs w:val="18"/>
              </w:rPr>
              <w:t>Ц</w:t>
            </w:r>
            <w:r w:rsidRPr="00807E9E">
              <w:rPr>
                <w:rFonts w:ascii="Times New Roman" w:eastAsia="Times New Roman" w:hAnsi="Times New Roman" w:cs="Times New Roman"/>
                <w:b/>
                <w:i/>
                <w:sz w:val="18"/>
                <w:szCs w:val="18"/>
                <w:vertAlign w:val="subscript"/>
              </w:rPr>
              <w:t>бр</w:t>
            </w:r>
            <w:proofErr w:type="spellEnd"/>
            <w:r w:rsidRPr="00807E9E">
              <w:rPr>
                <w:rFonts w:ascii="Times New Roman" w:eastAsia="Times New Roman" w:hAnsi="Times New Roman" w:cs="Times New Roman"/>
                <w:i/>
                <w:sz w:val="18"/>
                <w:szCs w:val="18"/>
              </w:rPr>
              <w:t xml:space="preserve"> - ціна, що склалась на балансуючому ринку в попередньому розрахунковому місяці; </w:t>
            </w:r>
          </w:p>
          <w:p w:rsidR="009B56F0" w:rsidRPr="00807E9E" w:rsidRDefault="0049370A" w:rsidP="00E42191">
            <w:pPr>
              <w:spacing w:after="4"/>
              <w:ind w:left="375" w:firstLine="197"/>
              <w:jc w:val="both"/>
              <w:rPr>
                <w:sz w:val="18"/>
                <w:szCs w:val="18"/>
              </w:rPr>
            </w:pPr>
            <w:proofErr w:type="spellStart"/>
            <w:r w:rsidRPr="00807E9E">
              <w:rPr>
                <w:rFonts w:ascii="Times New Roman" w:eastAsia="Times New Roman" w:hAnsi="Times New Roman" w:cs="Times New Roman"/>
                <w:b/>
                <w:i/>
                <w:sz w:val="18"/>
                <w:szCs w:val="18"/>
              </w:rPr>
              <w:t>W</w:t>
            </w:r>
            <w:r w:rsidRPr="00807E9E">
              <w:rPr>
                <w:rFonts w:ascii="Times New Roman" w:eastAsia="Times New Roman" w:hAnsi="Times New Roman" w:cs="Times New Roman"/>
                <w:b/>
                <w:i/>
                <w:sz w:val="18"/>
                <w:szCs w:val="18"/>
                <w:vertAlign w:val="subscript"/>
              </w:rPr>
              <w:t>рдд</w:t>
            </w:r>
            <w:proofErr w:type="spellEnd"/>
            <w:r w:rsidRPr="00807E9E">
              <w:rPr>
                <w:rFonts w:ascii="Times New Roman" w:eastAsia="Times New Roman" w:hAnsi="Times New Roman" w:cs="Times New Roman"/>
                <w:i/>
                <w:sz w:val="18"/>
                <w:szCs w:val="18"/>
              </w:rPr>
              <w:t xml:space="preserve"> - обсяг електроенергії куплений на ринку </w:t>
            </w:r>
            <w:proofErr w:type="spellStart"/>
            <w:r w:rsidRPr="00807E9E">
              <w:rPr>
                <w:rFonts w:ascii="Times New Roman" w:eastAsia="Times New Roman" w:hAnsi="Times New Roman" w:cs="Times New Roman"/>
                <w:i/>
                <w:sz w:val="18"/>
                <w:szCs w:val="18"/>
              </w:rPr>
              <w:t>двохсторонніх</w:t>
            </w:r>
            <w:proofErr w:type="spellEnd"/>
            <w:r w:rsidRPr="00807E9E">
              <w:rPr>
                <w:rFonts w:ascii="Times New Roman" w:eastAsia="Times New Roman" w:hAnsi="Times New Roman" w:cs="Times New Roman"/>
                <w:i/>
                <w:sz w:val="18"/>
                <w:szCs w:val="18"/>
              </w:rPr>
              <w:t xml:space="preserve"> договорів в попередньому розрахунковому місяці; </w:t>
            </w:r>
          </w:p>
          <w:p w:rsidR="009B56F0" w:rsidRPr="00807E9E" w:rsidRDefault="0049370A" w:rsidP="00E42191">
            <w:pPr>
              <w:spacing w:after="5"/>
              <w:ind w:left="375" w:firstLine="197"/>
              <w:jc w:val="both"/>
              <w:rPr>
                <w:sz w:val="18"/>
                <w:szCs w:val="18"/>
              </w:rPr>
            </w:pPr>
            <w:proofErr w:type="spellStart"/>
            <w:r w:rsidRPr="00807E9E">
              <w:rPr>
                <w:rFonts w:ascii="Times New Roman" w:eastAsia="Times New Roman" w:hAnsi="Times New Roman" w:cs="Times New Roman"/>
                <w:b/>
                <w:i/>
                <w:sz w:val="18"/>
                <w:szCs w:val="18"/>
              </w:rPr>
              <w:t>W</w:t>
            </w:r>
            <w:r w:rsidRPr="00807E9E">
              <w:rPr>
                <w:rFonts w:ascii="Times New Roman" w:eastAsia="Times New Roman" w:hAnsi="Times New Roman" w:cs="Times New Roman"/>
                <w:b/>
                <w:i/>
                <w:sz w:val="18"/>
                <w:szCs w:val="18"/>
                <w:vertAlign w:val="subscript"/>
              </w:rPr>
              <w:t>рдн</w:t>
            </w:r>
            <w:proofErr w:type="spellEnd"/>
            <w:r w:rsidRPr="00807E9E">
              <w:rPr>
                <w:rFonts w:ascii="Times New Roman" w:eastAsia="Times New Roman" w:hAnsi="Times New Roman" w:cs="Times New Roman"/>
                <w:i/>
                <w:sz w:val="18"/>
                <w:szCs w:val="18"/>
              </w:rPr>
              <w:t xml:space="preserve"> - обсяг електроенергії куплений  на ринку" доба на перед" в попередньому розрахунковому місяці; </w:t>
            </w:r>
          </w:p>
          <w:p w:rsidR="009B56F0" w:rsidRPr="00807E9E" w:rsidRDefault="0049370A" w:rsidP="00E42191">
            <w:pPr>
              <w:spacing w:after="3"/>
              <w:ind w:left="375" w:firstLine="197"/>
              <w:jc w:val="both"/>
              <w:rPr>
                <w:sz w:val="18"/>
                <w:szCs w:val="18"/>
              </w:rPr>
            </w:pPr>
            <w:proofErr w:type="spellStart"/>
            <w:r w:rsidRPr="00807E9E">
              <w:rPr>
                <w:rFonts w:ascii="Times New Roman" w:eastAsia="Times New Roman" w:hAnsi="Times New Roman" w:cs="Times New Roman"/>
                <w:b/>
                <w:i/>
                <w:sz w:val="18"/>
                <w:szCs w:val="18"/>
              </w:rPr>
              <w:t>W</w:t>
            </w:r>
            <w:r w:rsidRPr="00807E9E">
              <w:rPr>
                <w:rFonts w:ascii="Times New Roman" w:eastAsia="Times New Roman" w:hAnsi="Times New Roman" w:cs="Times New Roman"/>
                <w:b/>
                <w:i/>
                <w:sz w:val="18"/>
                <w:szCs w:val="18"/>
                <w:vertAlign w:val="subscript"/>
              </w:rPr>
              <w:t>вд</w:t>
            </w:r>
            <w:proofErr w:type="spellEnd"/>
            <w:r w:rsidRPr="00807E9E">
              <w:rPr>
                <w:rFonts w:ascii="Times New Roman" w:eastAsia="Times New Roman" w:hAnsi="Times New Roman" w:cs="Times New Roman"/>
                <w:i/>
                <w:sz w:val="18"/>
                <w:szCs w:val="18"/>
              </w:rPr>
              <w:t xml:space="preserve"> - обсяг електроенергії куплений на внутрішньо добовому ринку в попередньому розрахунковому місяці; </w:t>
            </w:r>
          </w:p>
          <w:p w:rsidR="009B56F0" w:rsidRPr="00807E9E" w:rsidRDefault="0049370A" w:rsidP="00E42191">
            <w:pPr>
              <w:spacing w:after="7"/>
              <w:ind w:left="375" w:firstLine="197"/>
              <w:rPr>
                <w:sz w:val="18"/>
                <w:szCs w:val="18"/>
              </w:rPr>
            </w:pPr>
            <w:proofErr w:type="spellStart"/>
            <w:r w:rsidRPr="00807E9E">
              <w:rPr>
                <w:rFonts w:ascii="Times New Roman" w:eastAsia="Times New Roman" w:hAnsi="Times New Roman" w:cs="Times New Roman"/>
                <w:b/>
                <w:i/>
                <w:sz w:val="18"/>
                <w:szCs w:val="18"/>
              </w:rPr>
              <w:t>W</w:t>
            </w:r>
            <w:r w:rsidRPr="00807E9E">
              <w:rPr>
                <w:rFonts w:ascii="Times New Roman" w:eastAsia="Times New Roman" w:hAnsi="Times New Roman" w:cs="Times New Roman"/>
                <w:b/>
                <w:i/>
                <w:sz w:val="18"/>
                <w:szCs w:val="18"/>
                <w:vertAlign w:val="subscript"/>
              </w:rPr>
              <w:t>бр</w:t>
            </w:r>
            <w:proofErr w:type="spellEnd"/>
            <w:r w:rsidRPr="00807E9E">
              <w:rPr>
                <w:rFonts w:ascii="Times New Roman" w:eastAsia="Times New Roman" w:hAnsi="Times New Roman" w:cs="Times New Roman"/>
                <w:i/>
                <w:sz w:val="18"/>
                <w:szCs w:val="18"/>
              </w:rPr>
              <w:t xml:space="preserve"> - обсяг електроенергії купленої  на балансуючому ринку в попередньому розрахунковому місяці; </w:t>
            </w:r>
          </w:p>
          <w:p w:rsidR="003A1C81" w:rsidRPr="0046437A" w:rsidRDefault="0049370A" w:rsidP="003A1C81">
            <w:pPr>
              <w:spacing w:after="131"/>
              <w:ind w:right="1" w:firstLine="197"/>
              <w:jc w:val="center"/>
              <w:rPr>
                <w:i/>
                <w:sz w:val="18"/>
                <w:szCs w:val="18"/>
              </w:rPr>
            </w:pPr>
            <w:proofErr w:type="spellStart"/>
            <w:r w:rsidRPr="00807E9E">
              <w:rPr>
                <w:rFonts w:ascii="Times New Roman" w:eastAsia="Times New Roman" w:hAnsi="Times New Roman" w:cs="Times New Roman"/>
                <w:b/>
                <w:i/>
                <w:sz w:val="18"/>
                <w:szCs w:val="18"/>
              </w:rPr>
              <w:t>К</w:t>
            </w:r>
            <w:r w:rsidRPr="00807E9E">
              <w:rPr>
                <w:rFonts w:ascii="Times New Roman" w:eastAsia="Times New Roman" w:hAnsi="Times New Roman" w:cs="Times New Roman"/>
                <w:b/>
                <w:i/>
                <w:sz w:val="18"/>
                <w:szCs w:val="18"/>
                <w:vertAlign w:val="subscript"/>
              </w:rPr>
              <w:t>неб</w:t>
            </w:r>
            <w:proofErr w:type="spellEnd"/>
            <w:r w:rsidRPr="00807E9E">
              <w:rPr>
                <w:rFonts w:ascii="Times New Roman" w:eastAsia="Times New Roman" w:hAnsi="Times New Roman" w:cs="Times New Roman"/>
                <w:i/>
                <w:sz w:val="18"/>
                <w:szCs w:val="18"/>
              </w:rPr>
              <w:t xml:space="preserve"> – коефіцієнт (абсолютна величина), що враховує відхилення заявленого та фактичного обсягу спожитої у попередньому розрахунковому періоді електричної енергії усіма Споживачами ТОВ «</w:t>
            </w:r>
            <w:r w:rsidR="0046437A">
              <w:rPr>
                <w:rFonts w:ascii="Times New Roman" w:eastAsia="Times New Roman" w:hAnsi="Times New Roman" w:cs="Times New Roman"/>
                <w:i/>
                <w:sz w:val="18"/>
                <w:szCs w:val="18"/>
              </w:rPr>
              <w:t>Електрика України</w:t>
            </w:r>
            <w:r w:rsidRPr="00807E9E">
              <w:rPr>
                <w:rFonts w:ascii="Times New Roman" w:eastAsia="Times New Roman" w:hAnsi="Times New Roman" w:cs="Times New Roman"/>
                <w:i/>
                <w:sz w:val="18"/>
                <w:szCs w:val="18"/>
              </w:rPr>
              <w:t xml:space="preserve">» з допустимою точністю у 5% (при </w:t>
            </w:r>
            <w:proofErr w:type="spellStart"/>
            <w:r w:rsidRPr="00807E9E">
              <w:rPr>
                <w:rFonts w:ascii="Times New Roman" w:eastAsia="Times New Roman" w:hAnsi="Times New Roman" w:cs="Times New Roman"/>
                <w:i/>
                <w:sz w:val="18"/>
                <w:szCs w:val="18"/>
              </w:rPr>
              <w:t>К</w:t>
            </w:r>
            <w:r w:rsidRPr="00807E9E">
              <w:rPr>
                <w:rFonts w:ascii="Times New Roman" w:eastAsia="Times New Roman" w:hAnsi="Times New Roman" w:cs="Times New Roman"/>
                <w:i/>
                <w:sz w:val="18"/>
                <w:szCs w:val="18"/>
                <w:vertAlign w:val="subscript"/>
              </w:rPr>
              <w:t>неб</w:t>
            </w:r>
            <w:proofErr w:type="spellEnd"/>
            <w:r w:rsidRPr="00807E9E">
              <w:rPr>
                <w:rFonts w:ascii="Times New Roman" w:eastAsia="Times New Roman" w:hAnsi="Times New Roman" w:cs="Times New Roman"/>
                <w:i/>
                <w:sz w:val="18"/>
                <w:szCs w:val="18"/>
              </w:rPr>
              <w:t xml:space="preserve"> менше 1, значення </w:t>
            </w:r>
            <w:proofErr w:type="spellStart"/>
            <w:r w:rsidRPr="00807E9E">
              <w:rPr>
                <w:rFonts w:ascii="Times New Roman" w:eastAsia="Times New Roman" w:hAnsi="Times New Roman" w:cs="Times New Roman"/>
                <w:i/>
                <w:sz w:val="18"/>
                <w:szCs w:val="18"/>
              </w:rPr>
              <w:t>К</w:t>
            </w:r>
            <w:r w:rsidRPr="00807E9E">
              <w:rPr>
                <w:rFonts w:ascii="Times New Roman" w:eastAsia="Times New Roman" w:hAnsi="Times New Roman" w:cs="Times New Roman"/>
                <w:i/>
                <w:sz w:val="18"/>
                <w:szCs w:val="18"/>
                <w:vertAlign w:val="subscript"/>
              </w:rPr>
              <w:t>неб</w:t>
            </w:r>
            <w:proofErr w:type="spellEnd"/>
            <w:r w:rsidRPr="00807E9E">
              <w:rPr>
                <w:rFonts w:ascii="Times New Roman" w:eastAsia="Times New Roman" w:hAnsi="Times New Roman" w:cs="Times New Roman"/>
                <w:i/>
                <w:sz w:val="18"/>
                <w:szCs w:val="18"/>
              </w:rPr>
              <w:t xml:space="preserve"> приймаємо за 1), та розраховується за формулою: </w:t>
            </w:r>
            <m:oMath>
              <m:r>
                <m:rPr>
                  <m:sty m:val="p"/>
                </m:rPr>
                <w:rPr>
                  <w:rFonts w:ascii="Cambria Math" w:hAnsi="Cambria Math"/>
                  <w:sz w:val="18"/>
                  <w:szCs w:val="18"/>
                </w:rPr>
                <w:br/>
              </m:r>
            </m:oMath>
            <m:oMathPara>
              <m:oMath>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n</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заяв</m:t>
                        </m:r>
                      </m:sub>
                    </m:sSub>
                  </m:num>
                  <m:den>
                    <m:sSub>
                      <m:sSubPr>
                        <m:ctrlPr>
                          <w:rPr>
                            <w:rFonts w:ascii="Cambria Math" w:hAnsi="Cambria Math"/>
                            <w:i/>
                            <w:sz w:val="18"/>
                            <w:szCs w:val="18"/>
                          </w:rPr>
                        </m:ctrlPr>
                      </m:sSubPr>
                      <m:e>
                        <m:r>
                          <w:rPr>
                            <w:rFonts w:ascii="Cambria Math" w:hAnsi="Cambria Math"/>
                            <w:sz w:val="18"/>
                            <w:szCs w:val="18"/>
                            <w:lang w:val="en-US"/>
                          </w:rPr>
                          <m:t>N</m:t>
                        </m:r>
                      </m:e>
                      <m:sub>
                        <m:r>
                          <w:rPr>
                            <w:rFonts w:ascii="Cambria Math" w:hAnsi="Cambria Math"/>
                            <w:sz w:val="18"/>
                            <w:szCs w:val="18"/>
                          </w:rPr>
                          <m:t>фокт</m:t>
                        </m:r>
                      </m:sub>
                    </m:sSub>
                    <m:r>
                      <w:rPr>
                        <w:rFonts w:ascii="Cambria Math" w:hAnsi="Cambria Math"/>
                        <w:sz w:val="18"/>
                        <w:szCs w:val="18"/>
                      </w:rPr>
                      <m:t>∙</m:t>
                    </m:r>
                    <m:r>
                      <w:rPr>
                        <w:rFonts w:ascii="Cambria Math" w:hAnsi="Cambria Math"/>
                        <w:sz w:val="18"/>
                        <w:szCs w:val="18"/>
                        <w:lang w:val="en-US"/>
                      </w:rPr>
                      <m:t>n</m:t>
                    </m:r>
                  </m:den>
                </m:f>
                <m:r>
                  <w:rPr>
                    <w:rFonts w:ascii="Cambria Math" w:hAnsi="Cambria Math"/>
                    <w:sz w:val="18"/>
                    <w:szCs w:val="18"/>
                  </w:rPr>
                  <m:t>+0,95</m:t>
                </m:r>
              </m:oMath>
            </m:oMathPara>
          </w:p>
          <w:p w:rsidR="003A1C81" w:rsidRPr="00807E9E" w:rsidRDefault="003A1C81" w:rsidP="003A1C81">
            <w:pPr>
              <w:spacing w:after="7"/>
              <w:ind w:left="375" w:firstLine="197"/>
              <w:jc w:val="both"/>
              <w:rPr>
                <w:sz w:val="18"/>
                <w:szCs w:val="18"/>
              </w:rPr>
            </w:pPr>
            <w:r>
              <w:rPr>
                <w:rFonts w:ascii="Times New Roman" w:eastAsia="Times New Roman" w:hAnsi="Times New Roman" w:cs="Times New Roman"/>
                <w:b/>
                <w:i/>
                <w:sz w:val="18"/>
                <w:szCs w:val="18"/>
                <w:lang w:val="en-US"/>
              </w:rPr>
              <w:t>N</w:t>
            </w:r>
            <w:r w:rsidRPr="00807E9E">
              <w:rPr>
                <w:rFonts w:ascii="Times New Roman" w:eastAsia="Times New Roman" w:hAnsi="Times New Roman" w:cs="Times New Roman"/>
                <w:b/>
                <w:i/>
                <w:sz w:val="18"/>
                <w:szCs w:val="18"/>
                <w:vertAlign w:val="subscript"/>
              </w:rPr>
              <w:t>заяв</w:t>
            </w:r>
            <w:r w:rsidRPr="00807E9E">
              <w:rPr>
                <w:rFonts w:ascii="Times New Roman" w:eastAsia="Times New Roman" w:hAnsi="Times New Roman" w:cs="Times New Roman"/>
                <w:i/>
                <w:sz w:val="18"/>
                <w:szCs w:val="18"/>
              </w:rPr>
              <w:t xml:space="preserve"> - заявлений обсяг купівлі електричної енергії сумарно за розрахунковий місяць; </w:t>
            </w:r>
          </w:p>
          <w:p w:rsidR="003A1C81" w:rsidRDefault="003A1C81" w:rsidP="003A1C81">
            <w:pPr>
              <w:spacing w:after="5"/>
              <w:ind w:left="375" w:right="108" w:firstLine="197"/>
              <w:jc w:val="both"/>
              <w:rPr>
                <w:rFonts w:ascii="Times New Roman" w:eastAsia="Times New Roman" w:hAnsi="Times New Roman" w:cs="Times New Roman"/>
                <w:i/>
                <w:sz w:val="18"/>
                <w:szCs w:val="18"/>
              </w:rPr>
            </w:pPr>
            <w:r>
              <w:rPr>
                <w:rFonts w:ascii="Times New Roman" w:eastAsia="Times New Roman" w:hAnsi="Times New Roman" w:cs="Times New Roman"/>
                <w:b/>
                <w:i/>
                <w:sz w:val="18"/>
                <w:szCs w:val="18"/>
                <w:lang w:val="en-US"/>
              </w:rPr>
              <w:t>N</w:t>
            </w:r>
            <w:r w:rsidRPr="00807E9E">
              <w:rPr>
                <w:rFonts w:ascii="Times New Roman" w:eastAsia="Times New Roman" w:hAnsi="Times New Roman" w:cs="Times New Roman"/>
                <w:b/>
                <w:i/>
                <w:sz w:val="18"/>
                <w:szCs w:val="18"/>
                <w:vertAlign w:val="subscript"/>
              </w:rPr>
              <w:t>факт</w:t>
            </w:r>
            <w:r w:rsidRPr="00807E9E">
              <w:rPr>
                <w:rFonts w:ascii="Times New Roman" w:eastAsia="Times New Roman" w:hAnsi="Times New Roman" w:cs="Times New Roman"/>
                <w:i/>
                <w:sz w:val="18"/>
                <w:szCs w:val="18"/>
              </w:rPr>
              <w:t xml:space="preserve"> - фактичний обсяг купівлі електричної енергії визначається за місяць згідно даних Оператора комерційного обліку; </w:t>
            </w:r>
          </w:p>
          <w:p w:rsidR="003A1C81" w:rsidRPr="00807E9E" w:rsidRDefault="003A1C81" w:rsidP="003A1C81">
            <w:pPr>
              <w:spacing w:after="5"/>
              <w:ind w:left="375" w:right="108" w:firstLine="197"/>
              <w:jc w:val="both"/>
              <w:rPr>
                <w:sz w:val="18"/>
                <w:szCs w:val="18"/>
              </w:rPr>
            </w:pPr>
            <w:r w:rsidRPr="00807E9E">
              <w:rPr>
                <w:rFonts w:ascii="Times New Roman" w:eastAsia="Times New Roman" w:hAnsi="Times New Roman" w:cs="Times New Roman"/>
                <w:b/>
                <w:i/>
                <w:sz w:val="18"/>
                <w:szCs w:val="18"/>
              </w:rPr>
              <w:t xml:space="preserve">n – </w:t>
            </w:r>
            <w:r w:rsidRPr="00807E9E">
              <w:rPr>
                <w:rFonts w:ascii="Times New Roman" w:eastAsia="Times New Roman" w:hAnsi="Times New Roman" w:cs="Times New Roman"/>
                <w:i/>
                <w:sz w:val="18"/>
                <w:szCs w:val="18"/>
              </w:rPr>
              <w:t xml:space="preserve">кількість днів у місяці; </w:t>
            </w:r>
          </w:p>
          <w:p w:rsidR="003A1C81" w:rsidRPr="00807E9E" w:rsidRDefault="003A1C81" w:rsidP="003A1C81">
            <w:pPr>
              <w:spacing w:after="17"/>
              <w:ind w:left="375" w:firstLine="197"/>
              <w:rPr>
                <w:sz w:val="18"/>
                <w:szCs w:val="18"/>
              </w:rPr>
            </w:pPr>
            <w:proofErr w:type="spellStart"/>
            <w:r w:rsidRPr="00807E9E">
              <w:rPr>
                <w:rFonts w:ascii="Times New Roman" w:eastAsia="Times New Roman" w:hAnsi="Times New Roman" w:cs="Times New Roman"/>
                <w:b/>
                <w:i/>
                <w:sz w:val="18"/>
                <w:szCs w:val="18"/>
              </w:rPr>
              <w:t>Т</w:t>
            </w:r>
            <w:r w:rsidRPr="00807E9E">
              <w:rPr>
                <w:rFonts w:ascii="Times New Roman" w:eastAsia="Times New Roman" w:hAnsi="Times New Roman" w:cs="Times New Roman"/>
                <w:b/>
                <w:i/>
                <w:sz w:val="18"/>
                <w:szCs w:val="18"/>
                <w:vertAlign w:val="subscript"/>
              </w:rPr>
              <w:t>роз</w:t>
            </w:r>
            <w:proofErr w:type="spellEnd"/>
            <w:r w:rsidRPr="00807E9E">
              <w:rPr>
                <w:rFonts w:ascii="Times New Roman" w:eastAsia="Times New Roman" w:hAnsi="Times New Roman" w:cs="Times New Roman"/>
                <w:b/>
                <w:i/>
                <w:sz w:val="18"/>
                <w:szCs w:val="18"/>
                <w:vertAlign w:val="subscript"/>
              </w:rPr>
              <w:t xml:space="preserve"> </w:t>
            </w:r>
            <w:r w:rsidRPr="00807E9E">
              <w:rPr>
                <w:rFonts w:ascii="Times New Roman" w:eastAsia="Times New Roman" w:hAnsi="Times New Roman" w:cs="Times New Roman"/>
                <w:b/>
                <w:i/>
                <w:sz w:val="18"/>
                <w:szCs w:val="18"/>
              </w:rPr>
              <w:t xml:space="preserve"> - </w:t>
            </w:r>
            <w:r w:rsidRPr="00807E9E">
              <w:rPr>
                <w:rFonts w:ascii="Times New Roman" w:eastAsia="Times New Roman" w:hAnsi="Times New Roman" w:cs="Times New Roman"/>
                <w:i/>
                <w:sz w:val="18"/>
                <w:szCs w:val="18"/>
              </w:rPr>
              <w:t xml:space="preserve">тариф оператора системи розподілу на відповідному класі напруги; </w:t>
            </w:r>
          </w:p>
          <w:p w:rsidR="003A1C81" w:rsidRPr="00807E9E" w:rsidRDefault="003A1C81" w:rsidP="003A1C81">
            <w:pPr>
              <w:spacing w:after="23"/>
              <w:ind w:left="375" w:right="49" w:firstLine="197"/>
              <w:jc w:val="both"/>
              <w:rPr>
                <w:sz w:val="18"/>
                <w:szCs w:val="18"/>
              </w:rPr>
            </w:pPr>
            <w:proofErr w:type="spellStart"/>
            <w:r w:rsidRPr="00807E9E">
              <w:rPr>
                <w:rFonts w:ascii="Times New Roman" w:eastAsia="Times New Roman" w:hAnsi="Times New Roman" w:cs="Times New Roman"/>
                <w:b/>
                <w:i/>
                <w:sz w:val="18"/>
                <w:szCs w:val="18"/>
              </w:rPr>
              <w:t>Т</w:t>
            </w:r>
            <w:r w:rsidRPr="00807E9E">
              <w:rPr>
                <w:rFonts w:ascii="Times New Roman" w:eastAsia="Times New Roman" w:hAnsi="Times New Roman" w:cs="Times New Roman"/>
                <w:b/>
                <w:i/>
                <w:sz w:val="18"/>
                <w:szCs w:val="18"/>
                <w:vertAlign w:val="subscript"/>
              </w:rPr>
              <w:t>пер</w:t>
            </w:r>
            <w:proofErr w:type="spellEnd"/>
            <w:r w:rsidRPr="00807E9E">
              <w:rPr>
                <w:rFonts w:ascii="Times New Roman" w:eastAsia="Times New Roman" w:hAnsi="Times New Roman" w:cs="Times New Roman"/>
                <w:b/>
                <w:i/>
                <w:sz w:val="18"/>
                <w:szCs w:val="18"/>
                <w:vertAlign w:val="subscript"/>
              </w:rPr>
              <w:t xml:space="preserve"> </w:t>
            </w:r>
            <w:r w:rsidRPr="00807E9E">
              <w:rPr>
                <w:rFonts w:ascii="Times New Roman" w:eastAsia="Times New Roman" w:hAnsi="Times New Roman" w:cs="Times New Roman"/>
                <w:b/>
                <w:i/>
                <w:sz w:val="18"/>
                <w:szCs w:val="18"/>
              </w:rPr>
              <w:t xml:space="preserve"> - </w:t>
            </w:r>
            <w:r w:rsidRPr="00807E9E">
              <w:rPr>
                <w:rFonts w:ascii="Times New Roman" w:eastAsia="Times New Roman" w:hAnsi="Times New Roman" w:cs="Times New Roman"/>
                <w:i/>
                <w:sz w:val="18"/>
                <w:szCs w:val="18"/>
              </w:rPr>
              <w:t xml:space="preserve">тариф на послуги з передачі електричної енергії, розрахований відповідно до порядку встановлення (формування) тарифу на послуги з передачі електричної енергії та затверджений для ОСП у встановленому порядку;  </w:t>
            </w:r>
          </w:p>
          <w:p w:rsidR="003A1C81" w:rsidRPr="00807E9E" w:rsidRDefault="003A1C81" w:rsidP="003A1C81">
            <w:pPr>
              <w:ind w:left="375" w:right="50" w:firstLine="197"/>
              <w:jc w:val="both"/>
              <w:rPr>
                <w:sz w:val="18"/>
                <w:szCs w:val="18"/>
              </w:rPr>
            </w:pPr>
            <w:proofErr w:type="spellStart"/>
            <w:r w:rsidRPr="00807E9E">
              <w:rPr>
                <w:rFonts w:ascii="Times New Roman" w:eastAsia="Times New Roman" w:hAnsi="Times New Roman" w:cs="Times New Roman"/>
                <w:b/>
                <w:i/>
                <w:sz w:val="18"/>
                <w:szCs w:val="18"/>
              </w:rPr>
              <w:t>Т</w:t>
            </w:r>
            <w:r w:rsidRPr="00807E9E">
              <w:rPr>
                <w:rFonts w:ascii="Times New Roman" w:eastAsia="Times New Roman" w:hAnsi="Times New Roman" w:cs="Times New Roman"/>
                <w:b/>
                <w:i/>
                <w:sz w:val="18"/>
                <w:szCs w:val="18"/>
                <w:vertAlign w:val="subscript"/>
              </w:rPr>
              <w:t>пос</w:t>
            </w:r>
            <w:proofErr w:type="spellEnd"/>
            <w:r w:rsidRPr="00807E9E">
              <w:rPr>
                <w:rFonts w:ascii="Times New Roman" w:eastAsia="Times New Roman" w:hAnsi="Times New Roman" w:cs="Times New Roman"/>
                <w:b/>
                <w:i/>
                <w:sz w:val="18"/>
                <w:szCs w:val="18"/>
                <w:vertAlign w:val="subscript"/>
              </w:rPr>
              <w:t xml:space="preserve"> </w:t>
            </w:r>
            <w:r w:rsidRPr="00807E9E">
              <w:rPr>
                <w:rFonts w:ascii="Times New Roman" w:eastAsia="Times New Roman" w:hAnsi="Times New Roman" w:cs="Times New Roman"/>
                <w:b/>
                <w:i/>
                <w:sz w:val="18"/>
                <w:szCs w:val="18"/>
              </w:rPr>
              <w:t xml:space="preserve"> - </w:t>
            </w:r>
            <w:r w:rsidRPr="00807E9E">
              <w:rPr>
                <w:rFonts w:ascii="Times New Roman" w:eastAsia="Times New Roman" w:hAnsi="Times New Roman" w:cs="Times New Roman"/>
                <w:i/>
                <w:sz w:val="18"/>
                <w:szCs w:val="18"/>
              </w:rPr>
              <w:t>тариф на послуги постачальника електричної енергії, який встановлюється ТОВ «</w:t>
            </w:r>
            <w:r>
              <w:rPr>
                <w:rFonts w:ascii="Times New Roman" w:eastAsia="Times New Roman" w:hAnsi="Times New Roman" w:cs="Times New Roman"/>
                <w:i/>
                <w:sz w:val="18"/>
                <w:szCs w:val="18"/>
              </w:rPr>
              <w:t>Електрика України</w:t>
            </w:r>
            <w:r w:rsidRPr="00807E9E">
              <w:rPr>
                <w:rFonts w:ascii="Times New Roman" w:eastAsia="Times New Roman" w:hAnsi="Times New Roman" w:cs="Times New Roman"/>
                <w:i/>
                <w:sz w:val="18"/>
                <w:szCs w:val="18"/>
              </w:rPr>
              <w:t xml:space="preserve">» для групи споживачів, з початку дії нового ринку електричної енергії у відповідності до вимог Закону України «Про ринок електричної енергії» та включає відшкодування витрат на покриття фінансових гарантій, забезпечення на усіх сегментах ринку та інше. </w:t>
            </w:r>
          </w:p>
          <w:p w:rsidR="003A1C81" w:rsidRPr="00807E9E" w:rsidRDefault="003A1C81" w:rsidP="003A1C81">
            <w:pPr>
              <w:ind w:left="375" w:firstLine="197"/>
              <w:rPr>
                <w:sz w:val="18"/>
                <w:szCs w:val="18"/>
              </w:rPr>
            </w:pPr>
            <w:r w:rsidRPr="00807E9E">
              <w:rPr>
                <w:rFonts w:ascii="Times New Roman" w:eastAsia="Times New Roman" w:hAnsi="Times New Roman" w:cs="Times New Roman"/>
                <w:i/>
                <w:sz w:val="18"/>
                <w:szCs w:val="18"/>
              </w:rPr>
              <w:t xml:space="preserve"> </w:t>
            </w:r>
          </w:p>
          <w:p w:rsidR="009B56F0" w:rsidRPr="00807E9E" w:rsidRDefault="003A1C81" w:rsidP="003A1C81">
            <w:pPr>
              <w:ind w:left="375" w:right="103" w:firstLine="197"/>
              <w:jc w:val="both"/>
              <w:rPr>
                <w:sz w:val="18"/>
                <w:szCs w:val="18"/>
              </w:rPr>
            </w:pPr>
            <w:r w:rsidRPr="00807E9E">
              <w:rPr>
                <w:rFonts w:ascii="Times New Roman" w:eastAsia="Times New Roman" w:hAnsi="Times New Roman" w:cs="Times New Roman"/>
                <w:i/>
                <w:sz w:val="18"/>
                <w:szCs w:val="18"/>
              </w:rPr>
              <w:t>Складові розрахунку ціни за електричну енергію визначаються з врахуванням приналежності об’єктів електроспоживання Споживача до Об’єднаної Енергетичної Системи або Бурштинського острову.</w:t>
            </w:r>
          </w:p>
        </w:tc>
      </w:tr>
      <w:tr w:rsidR="009B56F0" w:rsidRPr="00807E9E" w:rsidTr="00807E9E">
        <w:tblPrEx>
          <w:tblCellMar>
            <w:top w:w="7" w:type="dxa"/>
            <w:bottom w:w="4" w:type="dxa"/>
            <w:right w:w="6" w:type="dxa"/>
          </w:tblCellMar>
        </w:tblPrEx>
        <w:trPr>
          <w:trHeight w:val="2926"/>
        </w:trPr>
        <w:tc>
          <w:tcPr>
            <w:tcW w:w="1501" w:type="dxa"/>
            <w:tcBorders>
              <w:top w:val="single" w:sz="4" w:space="0" w:color="000000"/>
              <w:left w:val="single" w:sz="4" w:space="0" w:color="000000"/>
              <w:bottom w:val="single" w:sz="4" w:space="0" w:color="000000"/>
              <w:right w:val="single" w:sz="4" w:space="0" w:color="000000"/>
            </w:tcBorders>
          </w:tcPr>
          <w:p w:rsidR="009B56F0" w:rsidRPr="00807E9E" w:rsidRDefault="0049370A" w:rsidP="00693EE5">
            <w:pPr>
              <w:ind w:right="44"/>
              <w:jc w:val="center"/>
              <w:rPr>
                <w:sz w:val="18"/>
                <w:szCs w:val="18"/>
              </w:rPr>
            </w:pPr>
            <w:r w:rsidRPr="00807E9E">
              <w:rPr>
                <w:rFonts w:ascii="Times New Roman" w:eastAsia="Times New Roman" w:hAnsi="Times New Roman" w:cs="Times New Roman"/>
                <w:b/>
                <w:sz w:val="18"/>
                <w:szCs w:val="18"/>
              </w:rPr>
              <w:lastRenderedPageBreak/>
              <w:t>Спосіб оплати</w:t>
            </w:r>
          </w:p>
        </w:tc>
        <w:tc>
          <w:tcPr>
            <w:tcW w:w="8958" w:type="dxa"/>
            <w:tcBorders>
              <w:top w:val="single" w:sz="4" w:space="0" w:color="000000"/>
              <w:left w:val="single" w:sz="4" w:space="0" w:color="000000"/>
              <w:bottom w:val="single" w:sz="4" w:space="0" w:color="000000"/>
              <w:right w:val="single" w:sz="4" w:space="0" w:color="000000"/>
            </w:tcBorders>
          </w:tcPr>
          <w:p w:rsidR="009B56F0" w:rsidRPr="00807E9E" w:rsidRDefault="0049370A" w:rsidP="00E42191">
            <w:pPr>
              <w:ind w:left="58" w:right="108" w:firstLine="197"/>
              <w:jc w:val="both"/>
              <w:rPr>
                <w:sz w:val="18"/>
                <w:szCs w:val="18"/>
              </w:rPr>
            </w:pPr>
            <w:r w:rsidRPr="00807E9E">
              <w:rPr>
                <w:rFonts w:ascii="Times New Roman" w:eastAsia="Times New Roman" w:hAnsi="Times New Roman" w:cs="Times New Roman"/>
                <w:sz w:val="18"/>
                <w:szCs w:val="18"/>
              </w:rPr>
              <w:t>Попередня оплата 100% вартості електроенергії у розмірі договірного (прогнозованого) обсягу у найближчому наступному періоді, яка здійснюється до 2</w:t>
            </w:r>
            <w:r w:rsidR="003A1C81">
              <w:rPr>
                <w:rFonts w:ascii="Times New Roman" w:eastAsia="Times New Roman" w:hAnsi="Times New Roman" w:cs="Times New Roman"/>
                <w:sz w:val="18"/>
                <w:szCs w:val="18"/>
              </w:rPr>
              <w:t>7</w:t>
            </w:r>
            <w:r w:rsidRPr="00807E9E">
              <w:rPr>
                <w:rFonts w:ascii="Times New Roman" w:eastAsia="Times New Roman" w:hAnsi="Times New Roman" w:cs="Times New Roman"/>
                <w:sz w:val="18"/>
                <w:szCs w:val="18"/>
              </w:rPr>
              <w:t xml:space="preserve">-го числа місяця, що передує розрахунковому періоду та розраховується як добуток договірного (прогнозованого) обсягу електричної енергії на ціну електричної енергії у попередньому звітному періоді.  </w:t>
            </w:r>
          </w:p>
          <w:p w:rsidR="009B56F0" w:rsidRPr="00807E9E" w:rsidRDefault="0049370A" w:rsidP="00E42191">
            <w:pPr>
              <w:ind w:left="58" w:firstLine="197"/>
              <w:rPr>
                <w:sz w:val="18"/>
                <w:szCs w:val="18"/>
              </w:rPr>
            </w:pPr>
            <w:r w:rsidRPr="00807E9E">
              <w:rPr>
                <w:rFonts w:ascii="Times New Roman" w:eastAsia="Times New Roman" w:hAnsi="Times New Roman" w:cs="Times New Roman"/>
                <w:sz w:val="18"/>
                <w:szCs w:val="18"/>
              </w:rPr>
              <w:t xml:space="preserve"> </w:t>
            </w:r>
          </w:p>
          <w:p w:rsidR="009B56F0" w:rsidRPr="00807E9E" w:rsidRDefault="0049370A" w:rsidP="00E42191">
            <w:pPr>
              <w:ind w:left="58" w:right="109" w:firstLine="197"/>
              <w:jc w:val="both"/>
              <w:rPr>
                <w:sz w:val="18"/>
                <w:szCs w:val="18"/>
              </w:rPr>
            </w:pPr>
            <w:r w:rsidRPr="00807E9E">
              <w:rPr>
                <w:rFonts w:ascii="Times New Roman" w:eastAsia="Times New Roman" w:hAnsi="Times New Roman" w:cs="Times New Roman"/>
                <w:sz w:val="18"/>
                <w:szCs w:val="18"/>
              </w:rPr>
              <w:t xml:space="preserve">Остаточний розрахунок споживача здійснюється на підставі обсягу фактично спожитої електричної енергії, визначеної оператором системи розподілу, з врахуванням сум попередніх </w:t>
            </w:r>
            <w:proofErr w:type="spellStart"/>
            <w:r w:rsidRPr="00807E9E">
              <w:rPr>
                <w:rFonts w:ascii="Times New Roman" w:eastAsia="Times New Roman" w:hAnsi="Times New Roman" w:cs="Times New Roman"/>
                <w:sz w:val="18"/>
                <w:szCs w:val="18"/>
              </w:rPr>
              <w:t>оплат</w:t>
            </w:r>
            <w:proofErr w:type="spellEnd"/>
            <w:r w:rsidRPr="00807E9E">
              <w:rPr>
                <w:rFonts w:ascii="Times New Roman" w:eastAsia="Times New Roman" w:hAnsi="Times New Roman" w:cs="Times New Roman"/>
                <w:sz w:val="18"/>
                <w:szCs w:val="18"/>
              </w:rPr>
              <w:t xml:space="preserve"> за електричну енергію.  </w:t>
            </w:r>
          </w:p>
          <w:p w:rsidR="009B56F0" w:rsidRPr="00807E9E" w:rsidRDefault="0049370A" w:rsidP="00E42191">
            <w:pPr>
              <w:ind w:left="58" w:firstLine="197"/>
              <w:rPr>
                <w:sz w:val="18"/>
                <w:szCs w:val="18"/>
              </w:rPr>
            </w:pPr>
            <w:r w:rsidRPr="00807E9E">
              <w:rPr>
                <w:rFonts w:ascii="Times New Roman" w:eastAsia="Times New Roman" w:hAnsi="Times New Roman" w:cs="Times New Roman"/>
                <w:sz w:val="18"/>
                <w:szCs w:val="18"/>
              </w:rPr>
              <w:t xml:space="preserve"> </w:t>
            </w:r>
          </w:p>
          <w:p w:rsidR="009B56F0" w:rsidRPr="00807E9E" w:rsidRDefault="0049370A" w:rsidP="00E42191">
            <w:pPr>
              <w:ind w:right="47" w:firstLine="197"/>
              <w:jc w:val="both"/>
              <w:rPr>
                <w:sz w:val="18"/>
                <w:szCs w:val="18"/>
              </w:rPr>
            </w:pPr>
            <w:r w:rsidRPr="00807E9E">
              <w:rPr>
                <w:rFonts w:ascii="Times New Roman" w:eastAsia="Times New Roman" w:hAnsi="Times New Roman" w:cs="Times New Roman"/>
                <w:sz w:val="18"/>
                <w:szCs w:val="18"/>
              </w:rPr>
              <w:t xml:space="preserve">Оплата здійснюється на поточний рахунок із спеціальним режимом використання Постачальника, зазначений у розрахункових документах, які споживач отримує самостійно не пізніше 4 (четвертого) календарного дня наступного за розрахунковим періодом будь-яким способом, в </w:t>
            </w:r>
            <w:proofErr w:type="spellStart"/>
            <w:r w:rsidRPr="00807E9E">
              <w:rPr>
                <w:rFonts w:ascii="Times New Roman" w:eastAsia="Times New Roman" w:hAnsi="Times New Roman" w:cs="Times New Roman"/>
                <w:sz w:val="18"/>
                <w:szCs w:val="18"/>
              </w:rPr>
              <w:t>т.ч</w:t>
            </w:r>
            <w:proofErr w:type="spellEnd"/>
            <w:r w:rsidRPr="00807E9E">
              <w:rPr>
                <w:rFonts w:ascii="Times New Roman" w:eastAsia="Times New Roman" w:hAnsi="Times New Roman" w:cs="Times New Roman"/>
                <w:sz w:val="18"/>
                <w:szCs w:val="18"/>
              </w:rPr>
              <w:t xml:space="preserve">. через систему онлайн-розрахунків «Персональний кабінет» або в паперовому вигляді </w:t>
            </w:r>
            <w:proofErr w:type="spellStart"/>
            <w:r w:rsidRPr="00807E9E">
              <w:rPr>
                <w:rFonts w:ascii="Times New Roman" w:eastAsia="Times New Roman" w:hAnsi="Times New Roman" w:cs="Times New Roman"/>
                <w:sz w:val="18"/>
                <w:szCs w:val="18"/>
              </w:rPr>
              <w:t>наручно</w:t>
            </w:r>
            <w:proofErr w:type="spellEnd"/>
            <w:r w:rsidRPr="00807E9E">
              <w:rPr>
                <w:rFonts w:ascii="Times New Roman" w:eastAsia="Times New Roman" w:hAnsi="Times New Roman" w:cs="Times New Roman"/>
                <w:sz w:val="18"/>
                <w:szCs w:val="18"/>
              </w:rPr>
              <w:t xml:space="preserve"> в центрах обслуговування клієнтів.</w:t>
            </w:r>
            <w:r w:rsidRPr="00807E9E">
              <w:rPr>
                <w:rFonts w:ascii="Times New Roman" w:eastAsia="Times New Roman" w:hAnsi="Times New Roman" w:cs="Times New Roman"/>
                <w:i/>
                <w:sz w:val="18"/>
                <w:szCs w:val="18"/>
              </w:rPr>
              <w:t xml:space="preserve"> </w:t>
            </w:r>
          </w:p>
        </w:tc>
      </w:tr>
      <w:tr w:rsidR="009B56F0" w:rsidRPr="00807E9E" w:rsidTr="001970DF">
        <w:tblPrEx>
          <w:tblCellMar>
            <w:top w:w="7" w:type="dxa"/>
            <w:bottom w:w="4" w:type="dxa"/>
            <w:right w:w="6" w:type="dxa"/>
          </w:tblCellMar>
        </w:tblPrEx>
        <w:trPr>
          <w:trHeight w:val="3710"/>
        </w:trPr>
        <w:tc>
          <w:tcPr>
            <w:tcW w:w="1501" w:type="dxa"/>
            <w:tcBorders>
              <w:top w:val="single" w:sz="4" w:space="0" w:color="000000"/>
              <w:left w:val="single" w:sz="4" w:space="0" w:color="000000"/>
              <w:bottom w:val="single" w:sz="4" w:space="0" w:color="000000"/>
              <w:right w:val="single" w:sz="4" w:space="0" w:color="000000"/>
            </w:tcBorders>
          </w:tcPr>
          <w:p w:rsidR="009B56F0" w:rsidRPr="00807E9E" w:rsidRDefault="0049370A" w:rsidP="00693EE5">
            <w:pPr>
              <w:ind w:left="-9" w:firstLine="9"/>
              <w:jc w:val="center"/>
              <w:rPr>
                <w:sz w:val="18"/>
                <w:szCs w:val="18"/>
              </w:rPr>
            </w:pPr>
            <w:r w:rsidRPr="00807E9E">
              <w:rPr>
                <w:rFonts w:ascii="Times New Roman" w:eastAsia="Times New Roman" w:hAnsi="Times New Roman" w:cs="Times New Roman"/>
                <w:b/>
                <w:sz w:val="18"/>
                <w:szCs w:val="18"/>
              </w:rPr>
              <w:t>Термін  виставлення рахунку за електричну енергію та термін його оплати</w:t>
            </w:r>
          </w:p>
        </w:tc>
        <w:tc>
          <w:tcPr>
            <w:tcW w:w="8958" w:type="dxa"/>
            <w:tcBorders>
              <w:top w:val="single" w:sz="4" w:space="0" w:color="000000"/>
              <w:left w:val="single" w:sz="4" w:space="0" w:color="000000"/>
              <w:bottom w:val="single" w:sz="4" w:space="0" w:color="000000"/>
              <w:right w:val="single" w:sz="4" w:space="0" w:color="000000"/>
            </w:tcBorders>
          </w:tcPr>
          <w:p w:rsidR="009B56F0" w:rsidRPr="00807E9E" w:rsidRDefault="0049370A" w:rsidP="00E42191">
            <w:pPr>
              <w:ind w:left="58" w:firstLine="197"/>
              <w:jc w:val="both"/>
              <w:rPr>
                <w:sz w:val="18"/>
                <w:szCs w:val="18"/>
              </w:rPr>
            </w:pPr>
            <w:r w:rsidRPr="00807E9E">
              <w:rPr>
                <w:rFonts w:ascii="Times New Roman" w:eastAsia="Times New Roman" w:hAnsi="Times New Roman" w:cs="Times New Roman"/>
                <w:sz w:val="18"/>
                <w:szCs w:val="18"/>
              </w:rPr>
              <w:t xml:space="preserve">Споживач самостійно та/або Постачальник електричної енергії розраховує суму попередньої оплати, яка оплачується Споживачем до 23-го числа місяця, що передує розрахунковому періоду.  </w:t>
            </w:r>
          </w:p>
          <w:p w:rsidR="009B56F0" w:rsidRPr="00807E9E" w:rsidRDefault="0049370A" w:rsidP="00E42191">
            <w:pPr>
              <w:ind w:left="58" w:firstLine="197"/>
              <w:rPr>
                <w:sz w:val="18"/>
                <w:szCs w:val="18"/>
              </w:rPr>
            </w:pPr>
            <w:r w:rsidRPr="00807E9E">
              <w:rPr>
                <w:rFonts w:ascii="Times New Roman" w:eastAsia="Times New Roman" w:hAnsi="Times New Roman" w:cs="Times New Roman"/>
                <w:sz w:val="18"/>
                <w:szCs w:val="18"/>
              </w:rPr>
              <w:t xml:space="preserve"> </w:t>
            </w:r>
          </w:p>
          <w:p w:rsidR="001970DF" w:rsidRPr="00807E9E" w:rsidRDefault="001970DF" w:rsidP="001970DF">
            <w:pPr>
              <w:ind w:left="58" w:firstLine="197"/>
              <w:jc w:val="both"/>
              <w:rPr>
                <w:sz w:val="18"/>
                <w:szCs w:val="18"/>
              </w:rPr>
            </w:pPr>
            <w:r w:rsidRPr="00807E9E">
              <w:rPr>
                <w:rFonts w:ascii="Times New Roman" w:eastAsia="Times New Roman" w:hAnsi="Times New Roman" w:cs="Times New Roman"/>
                <w:sz w:val="18"/>
                <w:szCs w:val="18"/>
              </w:rPr>
              <w:t xml:space="preserve">Остаточний рахунок за фактично спожиту електричну енергію виставляється на початку періоду наступного за розрахунковим.  </w:t>
            </w:r>
          </w:p>
          <w:p w:rsidR="001970DF" w:rsidRPr="00807E9E" w:rsidRDefault="001970DF" w:rsidP="001970DF">
            <w:pPr>
              <w:spacing w:after="16"/>
              <w:ind w:left="58" w:firstLine="197"/>
              <w:rPr>
                <w:sz w:val="18"/>
                <w:szCs w:val="18"/>
              </w:rPr>
            </w:pPr>
            <w:r w:rsidRPr="00807E9E">
              <w:rPr>
                <w:rFonts w:ascii="Times New Roman" w:eastAsia="Times New Roman" w:hAnsi="Times New Roman" w:cs="Times New Roman"/>
                <w:sz w:val="18"/>
                <w:szCs w:val="18"/>
              </w:rPr>
              <w:t xml:space="preserve">   </w:t>
            </w:r>
          </w:p>
          <w:p w:rsidR="001970DF" w:rsidRPr="00807E9E" w:rsidRDefault="001970DF" w:rsidP="001970DF">
            <w:pPr>
              <w:ind w:left="58" w:right="101" w:firstLine="197"/>
              <w:jc w:val="both"/>
              <w:rPr>
                <w:sz w:val="18"/>
                <w:szCs w:val="18"/>
              </w:rPr>
            </w:pPr>
            <w:r w:rsidRPr="00807E9E">
              <w:rPr>
                <w:rFonts w:ascii="Times New Roman" w:eastAsia="Times New Roman" w:hAnsi="Times New Roman" w:cs="Times New Roman"/>
                <w:sz w:val="18"/>
                <w:szCs w:val="18"/>
              </w:rPr>
              <w:t xml:space="preserve">Якщо рахунок за електроенергію не був отриманий Споживачем ні через </w:t>
            </w:r>
            <w:r>
              <w:rPr>
                <w:rFonts w:ascii="Times New Roman" w:eastAsia="Times New Roman" w:hAnsi="Times New Roman" w:cs="Times New Roman"/>
                <w:sz w:val="18"/>
                <w:szCs w:val="18"/>
              </w:rPr>
              <w:t>електронну пошту</w:t>
            </w:r>
            <w:r w:rsidRPr="00807E9E">
              <w:rPr>
                <w:rFonts w:ascii="Times New Roman" w:eastAsia="Times New Roman" w:hAnsi="Times New Roman" w:cs="Times New Roman"/>
                <w:sz w:val="18"/>
                <w:szCs w:val="18"/>
              </w:rPr>
              <w:t xml:space="preserve">, ні у паперовому вигляді у Постачальника на 4 (четвертий) календарний день наступний за розрахунковим – він вважається таким, що вручений Постачальником Споживачу 4 (четвертого) календарного дня наступного за розрахунковим та Споживач вважається з ними ознайомлений. Строк оплати такого рахунку обчислюється з наступного робочого дня після його вручення. </w:t>
            </w:r>
          </w:p>
          <w:p w:rsidR="001970DF" w:rsidRPr="00807E9E" w:rsidRDefault="001970DF" w:rsidP="001970DF">
            <w:pPr>
              <w:spacing w:after="16"/>
              <w:ind w:left="58" w:firstLine="197"/>
              <w:rPr>
                <w:sz w:val="18"/>
                <w:szCs w:val="18"/>
              </w:rPr>
            </w:pPr>
            <w:r w:rsidRPr="00807E9E">
              <w:rPr>
                <w:rFonts w:ascii="Times New Roman" w:eastAsia="Times New Roman" w:hAnsi="Times New Roman" w:cs="Times New Roman"/>
                <w:sz w:val="18"/>
                <w:szCs w:val="18"/>
              </w:rPr>
              <w:t xml:space="preserve"> </w:t>
            </w:r>
          </w:p>
          <w:p w:rsidR="001970DF" w:rsidRPr="00807E9E" w:rsidRDefault="001970DF" w:rsidP="001970DF">
            <w:pPr>
              <w:spacing w:after="121"/>
              <w:ind w:left="58" w:firstLine="197"/>
              <w:jc w:val="both"/>
              <w:rPr>
                <w:sz w:val="18"/>
                <w:szCs w:val="18"/>
              </w:rPr>
            </w:pPr>
            <w:r w:rsidRPr="00807E9E">
              <w:rPr>
                <w:rFonts w:ascii="Times New Roman" w:eastAsia="Times New Roman" w:hAnsi="Times New Roman" w:cs="Times New Roman"/>
                <w:sz w:val="18"/>
                <w:szCs w:val="18"/>
              </w:rPr>
              <w:t xml:space="preserve">Тривалість періоду для оплати отриманих рахунків має не перевищувати 5-ти  операційних днів з дня отримання рахунку, крім рахунків для проведення попередньої оплати.  </w:t>
            </w:r>
          </w:p>
          <w:p w:rsidR="001970DF" w:rsidRPr="00807E9E" w:rsidRDefault="001970DF" w:rsidP="001970DF">
            <w:pPr>
              <w:spacing w:after="121"/>
              <w:ind w:left="58" w:firstLine="197"/>
              <w:jc w:val="both"/>
              <w:rPr>
                <w:sz w:val="18"/>
                <w:szCs w:val="18"/>
              </w:rPr>
            </w:pPr>
            <w:r w:rsidRPr="00807E9E">
              <w:rPr>
                <w:rFonts w:ascii="Times New Roman" w:eastAsia="Times New Roman" w:hAnsi="Times New Roman" w:cs="Times New Roman"/>
                <w:sz w:val="18"/>
                <w:szCs w:val="18"/>
              </w:rPr>
              <w:t xml:space="preserve">Дата оплати рахунка (здійснення розрахунку) визначається датою, на яку були зараховані кошти на поточний рахунок із спеціальним режимом використання Постачальника. </w:t>
            </w:r>
          </w:p>
          <w:p w:rsidR="009B56F0" w:rsidRPr="00807E9E" w:rsidRDefault="009B56F0" w:rsidP="00E42191">
            <w:pPr>
              <w:ind w:left="58" w:firstLine="197"/>
              <w:jc w:val="both"/>
              <w:rPr>
                <w:sz w:val="18"/>
                <w:szCs w:val="18"/>
              </w:rPr>
            </w:pPr>
          </w:p>
        </w:tc>
      </w:tr>
      <w:tr w:rsidR="00807E9E" w:rsidRPr="00807E9E" w:rsidTr="00E42191">
        <w:tblPrEx>
          <w:tblCellMar>
            <w:top w:w="7" w:type="dxa"/>
            <w:bottom w:w="4" w:type="dxa"/>
            <w:right w:w="6" w:type="dxa"/>
          </w:tblCellMar>
        </w:tblPrEx>
        <w:trPr>
          <w:trHeight w:val="2535"/>
        </w:trPr>
        <w:tc>
          <w:tcPr>
            <w:tcW w:w="1501" w:type="dxa"/>
            <w:tcBorders>
              <w:top w:val="single" w:sz="4" w:space="0" w:color="000000"/>
              <w:left w:val="single" w:sz="4" w:space="0" w:color="000000"/>
              <w:right w:val="single" w:sz="4" w:space="0" w:color="000000"/>
            </w:tcBorders>
          </w:tcPr>
          <w:p w:rsidR="00807E9E" w:rsidRPr="00807E9E" w:rsidRDefault="00807E9E" w:rsidP="00693EE5">
            <w:pPr>
              <w:spacing w:after="37"/>
              <w:jc w:val="center"/>
              <w:rPr>
                <w:sz w:val="18"/>
                <w:szCs w:val="18"/>
              </w:rPr>
            </w:pPr>
            <w:r w:rsidRPr="00807E9E">
              <w:rPr>
                <w:rFonts w:ascii="Times New Roman" w:eastAsia="Times New Roman" w:hAnsi="Times New Roman" w:cs="Times New Roman"/>
                <w:b/>
                <w:sz w:val="18"/>
                <w:szCs w:val="18"/>
              </w:rPr>
              <w:t>Спосіб оплати послуг з розподілу електричної</w:t>
            </w:r>
          </w:p>
          <w:p w:rsidR="00807E9E" w:rsidRPr="00807E9E" w:rsidRDefault="00807E9E" w:rsidP="00693EE5">
            <w:pPr>
              <w:ind w:right="49"/>
              <w:jc w:val="center"/>
              <w:rPr>
                <w:sz w:val="18"/>
                <w:szCs w:val="18"/>
              </w:rPr>
            </w:pPr>
            <w:r w:rsidRPr="00807E9E">
              <w:rPr>
                <w:rFonts w:ascii="Times New Roman" w:eastAsia="Times New Roman" w:hAnsi="Times New Roman" w:cs="Times New Roman"/>
                <w:b/>
                <w:sz w:val="18"/>
                <w:szCs w:val="18"/>
              </w:rPr>
              <w:t>енергії</w:t>
            </w:r>
          </w:p>
          <w:p w:rsidR="00807E9E" w:rsidRPr="00807E9E" w:rsidRDefault="00807E9E" w:rsidP="00693EE5">
            <w:pPr>
              <w:ind w:left="16" w:right="12"/>
              <w:jc w:val="center"/>
              <w:rPr>
                <w:sz w:val="18"/>
                <w:szCs w:val="18"/>
              </w:rPr>
            </w:pPr>
            <w:r w:rsidRPr="00807E9E">
              <w:rPr>
                <w:rFonts w:ascii="Times New Roman" w:eastAsia="Times New Roman" w:hAnsi="Times New Roman" w:cs="Times New Roman"/>
                <w:b/>
                <w:sz w:val="18"/>
                <w:szCs w:val="18"/>
              </w:rPr>
              <w:t>Розмір пені за порушення строку оплати та/або штраф</w:t>
            </w:r>
          </w:p>
        </w:tc>
        <w:tc>
          <w:tcPr>
            <w:tcW w:w="8958" w:type="dxa"/>
            <w:tcBorders>
              <w:top w:val="single" w:sz="4" w:space="0" w:color="000000"/>
              <w:left w:val="single" w:sz="4" w:space="0" w:color="000000"/>
              <w:right w:val="single" w:sz="4" w:space="0" w:color="000000"/>
            </w:tcBorders>
          </w:tcPr>
          <w:p w:rsidR="00807E9E" w:rsidRPr="00807E9E" w:rsidRDefault="00807E9E" w:rsidP="00E42191">
            <w:pPr>
              <w:ind w:right="52" w:firstLine="197"/>
              <w:jc w:val="both"/>
              <w:rPr>
                <w:sz w:val="18"/>
                <w:szCs w:val="18"/>
              </w:rPr>
            </w:pPr>
            <w:r w:rsidRPr="00807E9E">
              <w:rPr>
                <w:rFonts w:ascii="Times New Roman" w:eastAsia="Times New Roman" w:hAnsi="Times New Roman" w:cs="Times New Roman"/>
                <w:sz w:val="18"/>
                <w:szCs w:val="18"/>
              </w:rPr>
              <w:t>Споживач здійснює плату за послугу з розподілу (передачі) електричної енергії через Постачальника з наступним переведенням цієї оплати Постачальником Оператору системи розподілу.</w:t>
            </w:r>
            <w:r w:rsidRPr="00807E9E">
              <w:rPr>
                <w:rFonts w:ascii="Times New Roman" w:eastAsia="Times New Roman" w:hAnsi="Times New Roman" w:cs="Times New Roman"/>
                <w:b/>
                <w:sz w:val="18"/>
                <w:szCs w:val="18"/>
              </w:rPr>
              <w:t xml:space="preserve"> </w:t>
            </w:r>
          </w:p>
          <w:p w:rsidR="00807E9E" w:rsidRPr="00807E9E" w:rsidRDefault="00807E9E" w:rsidP="00E42191">
            <w:pPr>
              <w:ind w:right="53" w:firstLine="197"/>
              <w:jc w:val="both"/>
              <w:rPr>
                <w:sz w:val="18"/>
                <w:szCs w:val="18"/>
              </w:rPr>
            </w:pPr>
            <w:r w:rsidRPr="00807E9E">
              <w:rPr>
                <w:rFonts w:ascii="Times New Roman" w:eastAsia="Times New Roman" w:hAnsi="Times New Roman" w:cs="Times New Roman"/>
                <w:sz w:val="18"/>
                <w:szCs w:val="18"/>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w:t>
            </w:r>
          </w:p>
          <w:p w:rsidR="00807E9E" w:rsidRPr="00807E9E" w:rsidRDefault="00807E9E" w:rsidP="00E42191">
            <w:pPr>
              <w:spacing w:after="263"/>
              <w:ind w:right="51" w:firstLine="197"/>
              <w:jc w:val="both"/>
              <w:rPr>
                <w:sz w:val="18"/>
                <w:szCs w:val="18"/>
              </w:rPr>
            </w:pPr>
            <w:r w:rsidRPr="00807E9E">
              <w:rPr>
                <w:rFonts w:ascii="Times New Roman" w:eastAsia="Times New Roman" w:hAnsi="Times New Roman" w:cs="Times New Roman"/>
                <w:sz w:val="18"/>
                <w:szCs w:val="18"/>
              </w:rPr>
              <w:t xml:space="preserve">прострочення платежу, враховуючи день фактичної оплати. Сума боргу сплачується з урахуванням встановленого індексу інфляції за весь час прострочення, а також три проценти річних від простроченої суми.  </w:t>
            </w:r>
          </w:p>
          <w:p w:rsidR="00807E9E" w:rsidRPr="00807E9E" w:rsidRDefault="00807E9E" w:rsidP="00E42191">
            <w:pPr>
              <w:ind w:left="58" w:right="109" w:firstLine="197"/>
              <w:jc w:val="both"/>
              <w:rPr>
                <w:sz w:val="18"/>
                <w:szCs w:val="18"/>
              </w:rPr>
            </w:pPr>
            <w:r w:rsidRPr="00807E9E">
              <w:rPr>
                <w:rFonts w:ascii="Times New Roman" w:eastAsia="Times New Roman" w:hAnsi="Times New Roman" w:cs="Times New Roman"/>
                <w:i/>
                <w:sz w:val="18"/>
                <w:szCs w:val="18"/>
              </w:rPr>
              <w:t xml:space="preserve">Сума штрафу, пені,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розрахунковому документі.  </w:t>
            </w:r>
          </w:p>
        </w:tc>
      </w:tr>
      <w:tr w:rsidR="009B56F0" w:rsidRPr="00807E9E" w:rsidTr="00736457">
        <w:tblPrEx>
          <w:tblCellMar>
            <w:top w:w="46" w:type="dxa"/>
            <w:right w:w="3" w:type="dxa"/>
          </w:tblCellMar>
        </w:tblPrEx>
        <w:trPr>
          <w:trHeight w:val="3629"/>
        </w:trPr>
        <w:tc>
          <w:tcPr>
            <w:tcW w:w="1501" w:type="dxa"/>
            <w:tcBorders>
              <w:top w:val="single" w:sz="4" w:space="0" w:color="000000"/>
              <w:left w:val="single" w:sz="4" w:space="0" w:color="000000"/>
              <w:bottom w:val="single" w:sz="4" w:space="0" w:color="000000"/>
              <w:right w:val="single" w:sz="4" w:space="0" w:color="000000"/>
            </w:tcBorders>
          </w:tcPr>
          <w:p w:rsidR="009B56F0" w:rsidRPr="00807E9E" w:rsidRDefault="0049370A" w:rsidP="00693EE5">
            <w:pPr>
              <w:jc w:val="center"/>
              <w:rPr>
                <w:sz w:val="18"/>
                <w:szCs w:val="18"/>
              </w:rPr>
            </w:pPr>
            <w:r w:rsidRPr="00807E9E">
              <w:rPr>
                <w:rFonts w:ascii="Times New Roman" w:eastAsia="Times New Roman" w:hAnsi="Times New Roman" w:cs="Times New Roman"/>
                <w:b/>
                <w:sz w:val="18"/>
                <w:szCs w:val="18"/>
              </w:rPr>
              <w:t>Строк дії договору та умови пролонгації</w:t>
            </w:r>
          </w:p>
        </w:tc>
        <w:tc>
          <w:tcPr>
            <w:tcW w:w="8958" w:type="dxa"/>
            <w:tcBorders>
              <w:top w:val="single" w:sz="4" w:space="0" w:color="000000"/>
              <w:left w:val="single" w:sz="4" w:space="0" w:color="000000"/>
              <w:bottom w:val="single" w:sz="4" w:space="0" w:color="000000"/>
              <w:right w:val="single" w:sz="4" w:space="0" w:color="000000"/>
            </w:tcBorders>
          </w:tcPr>
          <w:p w:rsidR="009B56F0" w:rsidRPr="00807E9E" w:rsidRDefault="0049370A" w:rsidP="00E42191">
            <w:pPr>
              <w:spacing w:after="304"/>
              <w:ind w:right="50" w:firstLine="197"/>
              <w:jc w:val="both"/>
              <w:rPr>
                <w:sz w:val="18"/>
                <w:szCs w:val="18"/>
              </w:rPr>
            </w:pPr>
            <w:r w:rsidRPr="00807E9E">
              <w:rPr>
                <w:rFonts w:ascii="Times New Roman" w:eastAsia="Times New Roman" w:hAnsi="Times New Roman" w:cs="Times New Roman"/>
                <w:sz w:val="18"/>
                <w:szCs w:val="18"/>
              </w:rPr>
              <w:t xml:space="preserve">Договір набирає чинності з дати постачання електричної енергії, вказаної у Заяві-приєднання Споживача до умов публічного договору про постачання електричної енергії споживачу, якщо протягом трьох робочих днів, споживачу не буде повідомлено про невідповідність його критеріям обраній комерційній пропозиції. </w:t>
            </w:r>
          </w:p>
          <w:p w:rsidR="009B56F0" w:rsidRPr="00807E9E" w:rsidRDefault="0049370A" w:rsidP="00E42191">
            <w:pPr>
              <w:spacing w:after="298"/>
              <w:ind w:firstLine="197"/>
              <w:rPr>
                <w:sz w:val="18"/>
                <w:szCs w:val="18"/>
              </w:rPr>
            </w:pPr>
            <w:r w:rsidRPr="00807E9E">
              <w:rPr>
                <w:rFonts w:ascii="Times New Roman" w:eastAsia="Times New Roman" w:hAnsi="Times New Roman" w:cs="Times New Roman"/>
                <w:sz w:val="18"/>
                <w:szCs w:val="18"/>
              </w:rPr>
              <w:t>Договір діє з моменту набрання чинності до 31.12.202</w:t>
            </w:r>
            <w:r w:rsidR="00736457">
              <w:rPr>
                <w:rFonts w:ascii="Times New Roman" w:eastAsia="Times New Roman" w:hAnsi="Times New Roman" w:cs="Times New Roman"/>
                <w:sz w:val="18"/>
                <w:szCs w:val="18"/>
              </w:rPr>
              <w:t>1</w:t>
            </w:r>
            <w:r w:rsidRPr="00807E9E">
              <w:rPr>
                <w:rFonts w:ascii="Times New Roman" w:eastAsia="Times New Roman" w:hAnsi="Times New Roman" w:cs="Times New Roman"/>
                <w:sz w:val="18"/>
                <w:szCs w:val="18"/>
              </w:rPr>
              <w:t xml:space="preserve"> року. </w:t>
            </w:r>
          </w:p>
          <w:p w:rsidR="009B56F0" w:rsidRPr="00807E9E" w:rsidRDefault="0049370A" w:rsidP="00E42191">
            <w:pPr>
              <w:spacing w:after="299"/>
              <w:ind w:right="50" w:firstLine="197"/>
              <w:jc w:val="both"/>
              <w:rPr>
                <w:sz w:val="18"/>
                <w:szCs w:val="18"/>
              </w:rPr>
            </w:pPr>
            <w:r w:rsidRPr="00807E9E">
              <w:rPr>
                <w:rFonts w:ascii="Times New Roman" w:eastAsia="Times New Roman" w:hAnsi="Times New Roman" w:cs="Times New Roman"/>
                <w:sz w:val="18"/>
                <w:szCs w:val="18"/>
              </w:rPr>
              <w:t xml:space="preserve">Споживачу, повідомивши про це останнього за 20 днів до очікуваної дати розірвання. </w:t>
            </w:r>
          </w:p>
          <w:p w:rsidR="009B56F0" w:rsidRPr="00807E9E" w:rsidRDefault="0049370A" w:rsidP="00E42191">
            <w:pPr>
              <w:spacing w:after="256"/>
              <w:ind w:right="55" w:firstLine="197"/>
              <w:jc w:val="both"/>
              <w:rPr>
                <w:sz w:val="18"/>
                <w:szCs w:val="18"/>
              </w:rPr>
            </w:pPr>
            <w:r w:rsidRPr="00807E9E">
              <w:rPr>
                <w:rFonts w:ascii="Times New Roman" w:eastAsia="Times New Roman" w:hAnsi="Times New Roman" w:cs="Times New Roman"/>
                <w:sz w:val="18"/>
                <w:szCs w:val="18"/>
              </w:rPr>
              <w:t xml:space="preserve">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 </w:t>
            </w:r>
          </w:p>
          <w:p w:rsidR="009B56F0" w:rsidRPr="00807E9E" w:rsidRDefault="0049370A" w:rsidP="00E42191">
            <w:pPr>
              <w:ind w:firstLine="197"/>
              <w:jc w:val="both"/>
              <w:rPr>
                <w:sz w:val="18"/>
                <w:szCs w:val="18"/>
              </w:rPr>
            </w:pPr>
            <w:r w:rsidRPr="00807E9E">
              <w:rPr>
                <w:rFonts w:ascii="Times New Roman" w:eastAsia="Times New Roman" w:hAnsi="Times New Roman" w:cs="Times New Roman"/>
                <w:sz w:val="18"/>
                <w:szCs w:val="18"/>
              </w:rPr>
              <w:t xml:space="preserve">Договір може бути пролонгований на наступний календарний рік за умови відсутності письмового повідомлення від однієї із сторін про розірвання Договору. </w:t>
            </w:r>
          </w:p>
        </w:tc>
      </w:tr>
      <w:tr w:rsidR="009B56F0" w:rsidRPr="00807E9E" w:rsidTr="00761423">
        <w:tblPrEx>
          <w:tblCellMar>
            <w:top w:w="46" w:type="dxa"/>
            <w:right w:w="3" w:type="dxa"/>
          </w:tblCellMar>
        </w:tblPrEx>
        <w:trPr>
          <w:trHeight w:val="936"/>
        </w:trPr>
        <w:tc>
          <w:tcPr>
            <w:tcW w:w="1501" w:type="dxa"/>
            <w:tcBorders>
              <w:top w:val="single" w:sz="4" w:space="0" w:color="000000"/>
              <w:left w:val="single" w:sz="4" w:space="0" w:color="000000"/>
              <w:bottom w:val="single" w:sz="4" w:space="0" w:color="000000"/>
              <w:right w:val="single" w:sz="4" w:space="0" w:color="000000"/>
            </w:tcBorders>
          </w:tcPr>
          <w:p w:rsidR="009B56F0" w:rsidRPr="00807E9E" w:rsidRDefault="0049370A" w:rsidP="00693EE5">
            <w:pPr>
              <w:jc w:val="center"/>
              <w:rPr>
                <w:sz w:val="18"/>
                <w:szCs w:val="18"/>
              </w:rPr>
            </w:pPr>
            <w:r w:rsidRPr="00807E9E">
              <w:rPr>
                <w:rFonts w:ascii="Times New Roman" w:eastAsia="Times New Roman" w:hAnsi="Times New Roman" w:cs="Times New Roman"/>
                <w:b/>
                <w:sz w:val="18"/>
                <w:szCs w:val="18"/>
              </w:rPr>
              <w:t>Розмір штрафу за дострокове розірвання</w:t>
            </w:r>
          </w:p>
          <w:p w:rsidR="00736457" w:rsidRPr="00807E9E" w:rsidRDefault="0049370A" w:rsidP="00693EE5">
            <w:pPr>
              <w:spacing w:after="40"/>
              <w:jc w:val="center"/>
              <w:rPr>
                <w:sz w:val="18"/>
                <w:szCs w:val="18"/>
              </w:rPr>
            </w:pPr>
            <w:r w:rsidRPr="00807E9E">
              <w:rPr>
                <w:rFonts w:ascii="Times New Roman" w:eastAsia="Times New Roman" w:hAnsi="Times New Roman" w:cs="Times New Roman"/>
                <w:b/>
                <w:sz w:val="18"/>
                <w:szCs w:val="18"/>
              </w:rPr>
              <w:t>Договору</w:t>
            </w:r>
          </w:p>
          <w:p w:rsidR="009B56F0" w:rsidRPr="00807E9E" w:rsidRDefault="009B56F0" w:rsidP="00693EE5">
            <w:pPr>
              <w:ind w:right="48"/>
              <w:jc w:val="center"/>
              <w:rPr>
                <w:sz w:val="18"/>
                <w:szCs w:val="18"/>
              </w:rPr>
            </w:pPr>
          </w:p>
        </w:tc>
        <w:tc>
          <w:tcPr>
            <w:tcW w:w="8958" w:type="dxa"/>
            <w:tcBorders>
              <w:top w:val="single" w:sz="4" w:space="0" w:color="000000"/>
              <w:left w:val="single" w:sz="4" w:space="0" w:color="000000"/>
              <w:bottom w:val="single" w:sz="4" w:space="0" w:color="000000"/>
              <w:right w:val="single" w:sz="4" w:space="0" w:color="000000"/>
            </w:tcBorders>
          </w:tcPr>
          <w:p w:rsidR="009B56F0" w:rsidRPr="003A1C81" w:rsidRDefault="003A1C81" w:rsidP="00E42191">
            <w:pPr>
              <w:ind w:left="58" w:right="103" w:firstLine="197"/>
              <w:jc w:val="both"/>
              <w:rPr>
                <w:rFonts w:ascii="Times New Roman" w:hAnsi="Times New Roman" w:cs="Times New Roman"/>
                <w:sz w:val="20"/>
                <w:szCs w:val="20"/>
              </w:rPr>
            </w:pPr>
            <w:r w:rsidRPr="003A1C81">
              <w:rPr>
                <w:rFonts w:ascii="Times New Roman" w:hAnsi="Times New Roman" w:cs="Times New Roman"/>
                <w:sz w:val="20"/>
                <w:szCs w:val="20"/>
              </w:rPr>
              <w:t>ВІДСУТНІЙ</w:t>
            </w:r>
          </w:p>
        </w:tc>
      </w:tr>
      <w:tr w:rsidR="009B56F0" w:rsidRPr="00807E9E" w:rsidTr="00736457">
        <w:tblPrEx>
          <w:tblCellMar>
            <w:top w:w="46" w:type="dxa"/>
            <w:right w:w="3" w:type="dxa"/>
          </w:tblCellMar>
        </w:tblPrEx>
        <w:trPr>
          <w:trHeight w:val="1203"/>
        </w:trPr>
        <w:tc>
          <w:tcPr>
            <w:tcW w:w="1501" w:type="dxa"/>
            <w:tcBorders>
              <w:top w:val="single" w:sz="4" w:space="0" w:color="000000"/>
              <w:left w:val="single" w:sz="4" w:space="0" w:color="000000"/>
              <w:bottom w:val="single" w:sz="4" w:space="0" w:color="000000"/>
              <w:right w:val="single" w:sz="4" w:space="0" w:color="000000"/>
            </w:tcBorders>
          </w:tcPr>
          <w:p w:rsidR="009B56F0" w:rsidRPr="00807E9E" w:rsidRDefault="0049370A" w:rsidP="00693EE5">
            <w:pPr>
              <w:ind w:firstLine="15"/>
              <w:jc w:val="center"/>
              <w:rPr>
                <w:sz w:val="18"/>
                <w:szCs w:val="18"/>
              </w:rPr>
            </w:pPr>
            <w:r w:rsidRPr="00807E9E">
              <w:rPr>
                <w:rFonts w:ascii="Times New Roman" w:eastAsia="Times New Roman" w:hAnsi="Times New Roman" w:cs="Times New Roman"/>
                <w:b/>
                <w:sz w:val="18"/>
                <w:szCs w:val="18"/>
              </w:rPr>
              <w:t>Компенсація за недотримання комерційної якості надання послуг</w:t>
            </w:r>
          </w:p>
        </w:tc>
        <w:tc>
          <w:tcPr>
            <w:tcW w:w="8958" w:type="dxa"/>
            <w:tcBorders>
              <w:top w:val="single" w:sz="4" w:space="0" w:color="000000"/>
              <w:left w:val="single" w:sz="4" w:space="0" w:color="000000"/>
              <w:bottom w:val="single" w:sz="4" w:space="0" w:color="000000"/>
              <w:right w:val="single" w:sz="4" w:space="0" w:color="000000"/>
            </w:tcBorders>
          </w:tcPr>
          <w:p w:rsidR="009B56F0" w:rsidRPr="00807E9E" w:rsidRDefault="0049370A" w:rsidP="00E42191">
            <w:pPr>
              <w:spacing w:after="242"/>
              <w:ind w:firstLine="197"/>
              <w:jc w:val="both"/>
              <w:rPr>
                <w:sz w:val="18"/>
                <w:szCs w:val="18"/>
              </w:rPr>
            </w:pPr>
            <w:r w:rsidRPr="00807E9E">
              <w:rPr>
                <w:rFonts w:ascii="Times New Roman" w:eastAsia="Times New Roman" w:hAnsi="Times New Roman" w:cs="Times New Roman"/>
                <w:sz w:val="18"/>
                <w:szCs w:val="18"/>
              </w:rPr>
              <w:t xml:space="preserve">За недотримання Постачальником комерційної якості надання послуг, Споживачу надається компенсація в обсягах та у порядку, затверджених Регулятором.  </w:t>
            </w:r>
          </w:p>
          <w:p w:rsidR="009B56F0" w:rsidRPr="00807E9E" w:rsidRDefault="0049370A" w:rsidP="00E42191">
            <w:pPr>
              <w:ind w:right="56" w:firstLine="197"/>
              <w:jc w:val="both"/>
              <w:rPr>
                <w:sz w:val="18"/>
                <w:szCs w:val="18"/>
              </w:rPr>
            </w:pPr>
            <w:r w:rsidRPr="00807E9E">
              <w:rPr>
                <w:rFonts w:ascii="Times New Roman" w:eastAsia="Times New Roman" w:hAnsi="Times New Roman" w:cs="Times New Roman"/>
                <w:i/>
                <w:sz w:val="18"/>
                <w:szCs w:val="18"/>
              </w:rPr>
              <w:t xml:space="preserve">Постанова Регулятора щодо надання компенсації Споживачу за недотримання </w:t>
            </w:r>
            <w:proofErr w:type="spellStart"/>
            <w:r w:rsidRPr="00807E9E">
              <w:rPr>
                <w:rFonts w:ascii="Times New Roman" w:eastAsia="Times New Roman" w:hAnsi="Times New Roman" w:cs="Times New Roman"/>
                <w:i/>
                <w:sz w:val="18"/>
                <w:szCs w:val="18"/>
              </w:rPr>
              <w:t>електропостачальником</w:t>
            </w:r>
            <w:proofErr w:type="spellEnd"/>
            <w:r w:rsidRPr="00807E9E">
              <w:rPr>
                <w:rFonts w:ascii="Times New Roman" w:eastAsia="Times New Roman" w:hAnsi="Times New Roman" w:cs="Times New Roman"/>
                <w:i/>
                <w:sz w:val="18"/>
                <w:szCs w:val="18"/>
              </w:rPr>
              <w:t xml:space="preserve"> комерційної якості надання послуг розміщується на сайті регулятора та постачальника</w:t>
            </w:r>
            <w:r w:rsidR="001970DF">
              <w:rPr>
                <w:rFonts w:ascii="Times New Roman" w:eastAsia="Times New Roman" w:hAnsi="Times New Roman" w:cs="Times New Roman"/>
                <w:i/>
                <w:sz w:val="18"/>
                <w:szCs w:val="18"/>
              </w:rPr>
              <w:t xml:space="preserve"> </w:t>
            </w:r>
            <w:r w:rsidRPr="00807E9E">
              <w:rPr>
                <w:rFonts w:ascii="Times New Roman" w:eastAsia="Times New Roman" w:hAnsi="Times New Roman" w:cs="Times New Roman"/>
                <w:i/>
                <w:color w:val="0000FF"/>
                <w:sz w:val="18"/>
                <w:szCs w:val="18"/>
                <w:u w:val="single" w:color="0000FF"/>
              </w:rPr>
              <w:t>http://www.</w:t>
            </w:r>
            <w:r w:rsidR="00BD5202" w:rsidRPr="00807E9E">
              <w:rPr>
                <w:rFonts w:ascii="Times New Roman" w:eastAsia="Times New Roman" w:hAnsi="Times New Roman" w:cs="Times New Roman"/>
                <w:i/>
                <w:color w:val="0000FF"/>
                <w:sz w:val="18"/>
                <w:szCs w:val="18"/>
                <w:u w:val="single" w:color="0000FF"/>
                <w:lang w:val="en-US"/>
              </w:rPr>
              <w:t>ukrelectric.com</w:t>
            </w:r>
            <w:hyperlink r:id="rId7">
              <w:r w:rsidRPr="00807E9E">
                <w:rPr>
                  <w:rFonts w:ascii="Times New Roman" w:eastAsia="Times New Roman" w:hAnsi="Times New Roman" w:cs="Times New Roman"/>
                  <w:i/>
                  <w:sz w:val="18"/>
                  <w:szCs w:val="18"/>
                </w:rPr>
                <w:t xml:space="preserve"> </w:t>
              </w:r>
            </w:hyperlink>
            <w:r w:rsidRPr="00807E9E">
              <w:rPr>
                <w:rFonts w:ascii="Times New Roman" w:eastAsia="Times New Roman" w:hAnsi="Times New Roman" w:cs="Times New Roman"/>
                <w:b/>
                <w:i/>
                <w:sz w:val="18"/>
                <w:szCs w:val="18"/>
              </w:rPr>
              <w:t xml:space="preserve"> </w:t>
            </w:r>
          </w:p>
        </w:tc>
      </w:tr>
      <w:tr w:rsidR="001970DF" w:rsidRPr="00807E9E" w:rsidTr="001970DF">
        <w:tblPrEx>
          <w:tblCellMar>
            <w:top w:w="46" w:type="dxa"/>
            <w:right w:w="3" w:type="dxa"/>
          </w:tblCellMar>
        </w:tblPrEx>
        <w:trPr>
          <w:trHeight w:val="2637"/>
        </w:trPr>
        <w:tc>
          <w:tcPr>
            <w:tcW w:w="1501" w:type="dxa"/>
            <w:tcBorders>
              <w:top w:val="single" w:sz="4" w:space="0" w:color="000000"/>
              <w:left w:val="single" w:sz="4" w:space="0" w:color="000000"/>
              <w:right w:val="single" w:sz="4" w:space="0" w:color="000000"/>
            </w:tcBorders>
          </w:tcPr>
          <w:p w:rsidR="001970DF" w:rsidRPr="00807E9E" w:rsidRDefault="001970DF" w:rsidP="00693EE5">
            <w:pPr>
              <w:ind w:right="46"/>
              <w:jc w:val="center"/>
              <w:rPr>
                <w:sz w:val="18"/>
                <w:szCs w:val="18"/>
              </w:rPr>
            </w:pPr>
            <w:r w:rsidRPr="00807E9E">
              <w:rPr>
                <w:rFonts w:ascii="Times New Roman" w:eastAsia="Times New Roman" w:hAnsi="Times New Roman" w:cs="Times New Roman"/>
                <w:b/>
                <w:sz w:val="18"/>
                <w:szCs w:val="18"/>
              </w:rPr>
              <w:lastRenderedPageBreak/>
              <w:t>Інші умови</w:t>
            </w:r>
          </w:p>
        </w:tc>
        <w:tc>
          <w:tcPr>
            <w:tcW w:w="8958" w:type="dxa"/>
            <w:tcBorders>
              <w:top w:val="single" w:sz="4" w:space="0" w:color="000000"/>
              <w:left w:val="single" w:sz="4" w:space="0" w:color="000000"/>
              <w:right w:val="single" w:sz="4" w:space="0" w:color="000000"/>
            </w:tcBorders>
          </w:tcPr>
          <w:p w:rsidR="001970DF" w:rsidRPr="00807E9E" w:rsidRDefault="001970DF" w:rsidP="001970DF">
            <w:pPr>
              <w:ind w:firstLine="197"/>
              <w:jc w:val="both"/>
              <w:rPr>
                <w:rFonts w:ascii="Times New Roman" w:hAnsi="Times New Roman" w:cs="Times New Roman"/>
                <w:sz w:val="18"/>
                <w:szCs w:val="18"/>
              </w:rPr>
            </w:pPr>
            <w:r w:rsidRPr="00807E9E">
              <w:rPr>
                <w:rFonts w:ascii="Times New Roman" w:eastAsia="Times New Roman" w:hAnsi="Times New Roman" w:cs="Times New Roman"/>
                <w:sz w:val="18"/>
                <w:szCs w:val="18"/>
              </w:rPr>
              <w:t xml:space="preserve">Інформування Споживача, з яким укладено Договір, може здійснюватися шляхом направлення відповідної інформації:  </w:t>
            </w:r>
          </w:p>
          <w:p w:rsidR="001970DF" w:rsidRPr="00807E9E" w:rsidRDefault="001970DF" w:rsidP="001970DF">
            <w:pPr>
              <w:numPr>
                <w:ilvl w:val="0"/>
                <w:numId w:val="3"/>
              </w:numPr>
              <w:ind w:left="0" w:firstLine="197"/>
              <w:rPr>
                <w:rFonts w:ascii="Times New Roman" w:hAnsi="Times New Roman" w:cs="Times New Roman"/>
                <w:sz w:val="18"/>
                <w:szCs w:val="18"/>
              </w:rPr>
            </w:pPr>
            <w:r w:rsidRPr="00807E9E">
              <w:rPr>
                <w:rFonts w:ascii="Times New Roman" w:eastAsia="Times New Roman" w:hAnsi="Times New Roman" w:cs="Times New Roman"/>
                <w:sz w:val="18"/>
                <w:szCs w:val="18"/>
              </w:rPr>
              <w:t xml:space="preserve">на своєму офіційному сайті у мережі Інтернет,  </w:t>
            </w:r>
          </w:p>
          <w:p w:rsidR="001970DF" w:rsidRPr="00807E9E" w:rsidRDefault="001970DF" w:rsidP="001970DF">
            <w:pPr>
              <w:numPr>
                <w:ilvl w:val="0"/>
                <w:numId w:val="3"/>
              </w:numPr>
              <w:ind w:left="0" w:firstLine="197"/>
              <w:rPr>
                <w:rFonts w:ascii="Times New Roman" w:hAnsi="Times New Roman" w:cs="Times New Roman"/>
                <w:sz w:val="18"/>
                <w:szCs w:val="18"/>
              </w:rPr>
            </w:pPr>
            <w:r w:rsidRPr="00807E9E">
              <w:rPr>
                <w:rFonts w:ascii="Times New Roman" w:eastAsia="Times New Roman" w:hAnsi="Times New Roman" w:cs="Times New Roman"/>
                <w:sz w:val="18"/>
                <w:szCs w:val="18"/>
              </w:rPr>
              <w:t xml:space="preserve">засобами електронного зв’язку на електронну адресу, вказану у заяві-приєднання до умов </w:t>
            </w:r>
          </w:p>
          <w:p w:rsidR="001970DF" w:rsidRPr="00807E9E" w:rsidRDefault="001970DF" w:rsidP="001970DF">
            <w:pPr>
              <w:ind w:firstLine="197"/>
              <w:rPr>
                <w:rFonts w:ascii="Times New Roman" w:hAnsi="Times New Roman" w:cs="Times New Roman"/>
                <w:sz w:val="18"/>
                <w:szCs w:val="18"/>
              </w:rPr>
            </w:pPr>
            <w:r w:rsidRPr="00807E9E">
              <w:rPr>
                <w:rFonts w:ascii="Times New Roman" w:eastAsia="Times New Roman" w:hAnsi="Times New Roman" w:cs="Times New Roman"/>
                <w:sz w:val="18"/>
                <w:szCs w:val="18"/>
              </w:rPr>
              <w:t xml:space="preserve">договору,  </w:t>
            </w:r>
          </w:p>
          <w:p w:rsidR="001970DF" w:rsidRPr="00807E9E" w:rsidRDefault="001970DF" w:rsidP="001970DF">
            <w:pPr>
              <w:ind w:firstLine="197"/>
              <w:rPr>
                <w:rFonts w:ascii="Times New Roman" w:hAnsi="Times New Roman" w:cs="Times New Roman"/>
                <w:sz w:val="18"/>
                <w:szCs w:val="18"/>
              </w:rPr>
            </w:pPr>
            <w:r w:rsidRPr="00807E9E">
              <w:rPr>
                <w:rFonts w:ascii="Times New Roman" w:eastAsia="Times New Roman" w:hAnsi="Times New Roman" w:cs="Times New Roman"/>
                <w:sz w:val="18"/>
                <w:szCs w:val="18"/>
              </w:rPr>
              <w:t>-</w:t>
            </w:r>
            <w:r w:rsidRPr="00807E9E">
              <w:rPr>
                <w:rFonts w:ascii="Times New Roman" w:eastAsia="Arial" w:hAnsi="Times New Roman" w:cs="Times New Roman"/>
                <w:sz w:val="18"/>
                <w:szCs w:val="18"/>
              </w:rPr>
              <w:t xml:space="preserve"> </w:t>
            </w:r>
            <w:r w:rsidRPr="00807E9E">
              <w:rPr>
                <w:rFonts w:ascii="Times New Roman" w:eastAsia="Times New Roman" w:hAnsi="Times New Roman" w:cs="Times New Roman"/>
                <w:sz w:val="18"/>
                <w:szCs w:val="18"/>
              </w:rPr>
              <w:t>СМС-повідомленням на номер, зазначений у заяві-приєднання до умов договору,  -</w:t>
            </w:r>
            <w:r w:rsidRPr="00807E9E">
              <w:rPr>
                <w:rFonts w:ascii="Times New Roman" w:eastAsia="Arial" w:hAnsi="Times New Roman" w:cs="Times New Roman"/>
                <w:sz w:val="18"/>
                <w:szCs w:val="18"/>
              </w:rPr>
              <w:t xml:space="preserve"> </w:t>
            </w:r>
            <w:r w:rsidRPr="00807E9E">
              <w:rPr>
                <w:rFonts w:ascii="Times New Roman" w:eastAsia="Times New Roman" w:hAnsi="Times New Roman" w:cs="Times New Roman"/>
                <w:sz w:val="18"/>
                <w:szCs w:val="18"/>
              </w:rPr>
              <w:t xml:space="preserve">в центрах обслуговування споживачів, - тощо. </w:t>
            </w:r>
          </w:p>
          <w:p w:rsidR="001970DF" w:rsidRPr="00807E9E" w:rsidRDefault="001970DF" w:rsidP="001970DF">
            <w:pPr>
              <w:ind w:firstLine="197"/>
              <w:jc w:val="both"/>
              <w:rPr>
                <w:rFonts w:ascii="Times New Roman" w:hAnsi="Times New Roman" w:cs="Times New Roman"/>
                <w:sz w:val="18"/>
                <w:szCs w:val="18"/>
              </w:rPr>
            </w:pPr>
            <w:r w:rsidRPr="00807E9E">
              <w:rPr>
                <w:rFonts w:ascii="Times New Roman" w:eastAsia="Times New Roman" w:hAnsi="Times New Roman" w:cs="Times New Roman"/>
                <w:sz w:val="18"/>
                <w:szCs w:val="18"/>
              </w:rPr>
              <w:t>У випадку зміни чинного законодавства України, зокрема нормативно-правових актів, які регулюють правовідносини, що виникають з приводу постачання електричної енергії,</w:t>
            </w:r>
            <w:r>
              <w:rPr>
                <w:rFonts w:ascii="Times New Roman" w:eastAsia="Times New Roman" w:hAnsi="Times New Roman" w:cs="Times New Roman"/>
                <w:sz w:val="18"/>
                <w:szCs w:val="18"/>
              </w:rPr>
              <w:t xml:space="preserve"> </w:t>
            </w:r>
            <w:r w:rsidRPr="00807E9E">
              <w:rPr>
                <w:rFonts w:ascii="Times New Roman" w:eastAsia="Times New Roman" w:hAnsi="Times New Roman" w:cs="Times New Roman"/>
                <w:sz w:val="18"/>
                <w:szCs w:val="18"/>
              </w:rPr>
              <w:t xml:space="preserve">застосовуються положення цих нормативно-правових актів, які мають перевагу перед положеннями Договору.  </w:t>
            </w:r>
          </w:p>
          <w:p w:rsidR="001970DF" w:rsidRPr="00807E9E" w:rsidRDefault="001970DF" w:rsidP="001970DF">
            <w:pPr>
              <w:ind w:firstLine="197"/>
              <w:jc w:val="both"/>
              <w:rPr>
                <w:rFonts w:ascii="Times New Roman" w:hAnsi="Times New Roman" w:cs="Times New Roman"/>
                <w:sz w:val="18"/>
                <w:szCs w:val="18"/>
              </w:rPr>
            </w:pPr>
            <w:r w:rsidRPr="00807E9E">
              <w:rPr>
                <w:rFonts w:ascii="Times New Roman" w:eastAsia="Times New Roman" w:hAnsi="Times New Roman" w:cs="Times New Roman"/>
                <w:sz w:val="18"/>
                <w:szCs w:val="18"/>
              </w:rPr>
              <w:t xml:space="preserve"> Сторони зобов’язуються керуватися вимогами цих нормативно-правових актів з дня набрання ними чинності незалежно від внесення змін до Договору. </w:t>
            </w:r>
          </w:p>
        </w:tc>
      </w:tr>
      <w:tr w:rsidR="001970DF" w:rsidRPr="00807E9E" w:rsidTr="00736457">
        <w:tblPrEx>
          <w:tblCellMar>
            <w:top w:w="46" w:type="dxa"/>
            <w:right w:w="3" w:type="dxa"/>
          </w:tblCellMar>
        </w:tblPrEx>
        <w:trPr>
          <w:trHeight w:val="2079"/>
        </w:trPr>
        <w:tc>
          <w:tcPr>
            <w:tcW w:w="1501" w:type="dxa"/>
            <w:tcBorders>
              <w:top w:val="single" w:sz="4" w:space="0" w:color="000000"/>
              <w:left w:val="single" w:sz="4" w:space="0" w:color="000000"/>
              <w:bottom w:val="single" w:sz="4" w:space="0" w:color="000000"/>
              <w:right w:val="single" w:sz="4" w:space="0" w:color="000000"/>
            </w:tcBorders>
          </w:tcPr>
          <w:p w:rsidR="001970DF" w:rsidRPr="00E42191" w:rsidRDefault="001970DF" w:rsidP="00693EE5">
            <w:pPr>
              <w:spacing w:after="192"/>
              <w:jc w:val="center"/>
              <w:rPr>
                <w:rFonts w:ascii="Times New Roman" w:hAnsi="Times New Roman" w:cs="Times New Roman"/>
                <w:b/>
                <w:sz w:val="18"/>
                <w:szCs w:val="18"/>
              </w:rPr>
            </w:pPr>
            <w:r w:rsidRPr="00E42191">
              <w:rPr>
                <w:rFonts w:ascii="Times New Roman" w:hAnsi="Times New Roman" w:cs="Times New Roman"/>
                <w:b/>
                <w:sz w:val="18"/>
                <w:szCs w:val="18"/>
              </w:rPr>
              <w:t>Умови встановлення та коригування договірних обсягів постачання електричної енергії</w:t>
            </w:r>
          </w:p>
          <w:p w:rsidR="001970DF" w:rsidRPr="00807E9E" w:rsidRDefault="001970DF" w:rsidP="00693EE5">
            <w:pPr>
              <w:jc w:val="center"/>
              <w:rPr>
                <w:sz w:val="18"/>
                <w:szCs w:val="18"/>
              </w:rPr>
            </w:pPr>
          </w:p>
        </w:tc>
        <w:tc>
          <w:tcPr>
            <w:tcW w:w="8958" w:type="dxa"/>
            <w:tcBorders>
              <w:top w:val="single" w:sz="4" w:space="0" w:color="000000"/>
              <w:left w:val="single" w:sz="4" w:space="0" w:color="000000"/>
              <w:bottom w:val="single" w:sz="4" w:space="0" w:color="000000"/>
              <w:right w:val="single" w:sz="4" w:space="0" w:color="000000"/>
            </w:tcBorders>
          </w:tcPr>
          <w:p w:rsidR="001970DF" w:rsidRPr="00807E9E" w:rsidRDefault="001970DF" w:rsidP="001970DF">
            <w:pPr>
              <w:numPr>
                <w:ilvl w:val="0"/>
                <w:numId w:val="5"/>
              </w:numPr>
              <w:spacing w:after="4"/>
              <w:ind w:right="-7" w:firstLine="197"/>
              <w:jc w:val="both"/>
              <w:rPr>
                <w:rFonts w:ascii="Times New Roman" w:hAnsi="Times New Roman" w:cs="Times New Roman"/>
                <w:sz w:val="18"/>
                <w:szCs w:val="18"/>
              </w:rPr>
            </w:pPr>
            <w:r w:rsidRPr="00807E9E">
              <w:rPr>
                <w:rFonts w:ascii="Times New Roman" w:hAnsi="Times New Roman" w:cs="Times New Roman"/>
                <w:sz w:val="18"/>
                <w:szCs w:val="18"/>
              </w:rPr>
              <w:t xml:space="preserve">До заяви на приєднання, що є додатком №1 до цього Договору, споживач надає заяву про договірні обсяги споживання електричної енергії, що є додатком №2 до заяви приєднання. В заяві про договірні обсяги споживання електричної енергії Споживачем зазначаються помісячно договірні обсяги споживання електричної енергії по кожному об‘єкту електропостачання, які відповідають фактичним значенням обсягу спожитої електричної енергії за відповідний розрахунковий період попереднього року.  </w:t>
            </w:r>
          </w:p>
          <w:p w:rsidR="001970DF" w:rsidRPr="00807E9E" w:rsidRDefault="001970DF" w:rsidP="001970DF">
            <w:pPr>
              <w:numPr>
                <w:ilvl w:val="0"/>
                <w:numId w:val="5"/>
              </w:numPr>
              <w:spacing w:after="28"/>
              <w:ind w:right="-7" w:firstLine="197"/>
              <w:jc w:val="both"/>
              <w:rPr>
                <w:rFonts w:ascii="Times New Roman" w:eastAsia="Times New Roman" w:hAnsi="Times New Roman" w:cs="Times New Roman"/>
                <w:sz w:val="18"/>
                <w:szCs w:val="18"/>
              </w:rPr>
            </w:pPr>
            <w:r w:rsidRPr="00807E9E">
              <w:rPr>
                <w:rFonts w:ascii="Times New Roman" w:hAnsi="Times New Roman" w:cs="Times New Roman"/>
                <w:sz w:val="18"/>
                <w:szCs w:val="18"/>
              </w:rPr>
              <w:t xml:space="preserve">Споживач має право, розрахункового періоду, звернутись не пізніше 10 числа розрахункового місяця, до Постачальника електричної енергії із заявою щодо коригування договірного обсягу споживання електричної енергії Звернення Споживача щодо коригування договірного обсягу задовольняється Постачальником автоматично за умов виконання Споживачем своїх зобов’язань щодо оплати електроенергії за Договором та наявності на дату звернення попередньої оплати додатково заявлених обсягів. </w:t>
            </w:r>
          </w:p>
        </w:tc>
      </w:tr>
    </w:tbl>
    <w:p w:rsidR="009B56F0" w:rsidRPr="00807E9E" w:rsidRDefault="0049370A" w:rsidP="00807E9E">
      <w:pPr>
        <w:spacing w:after="21" w:line="240" w:lineRule="auto"/>
        <w:rPr>
          <w:sz w:val="18"/>
          <w:szCs w:val="18"/>
        </w:rPr>
      </w:pPr>
      <w:r w:rsidRPr="00807E9E">
        <w:rPr>
          <w:rFonts w:ascii="Times New Roman" w:eastAsia="Times New Roman" w:hAnsi="Times New Roman" w:cs="Times New Roman"/>
          <w:b/>
          <w:sz w:val="18"/>
          <w:szCs w:val="18"/>
        </w:rPr>
        <w:t xml:space="preserve">           </w:t>
      </w:r>
    </w:p>
    <w:p w:rsidR="009B56F0" w:rsidRPr="00807E9E" w:rsidRDefault="0049370A" w:rsidP="00807E9E">
      <w:pPr>
        <w:numPr>
          <w:ilvl w:val="0"/>
          <w:numId w:val="1"/>
        </w:numPr>
        <w:spacing w:after="2" w:line="240" w:lineRule="auto"/>
        <w:ind w:right="16" w:hanging="567"/>
        <w:jc w:val="both"/>
        <w:rPr>
          <w:sz w:val="18"/>
          <w:szCs w:val="18"/>
        </w:rPr>
      </w:pPr>
      <w:r w:rsidRPr="00807E9E">
        <w:rPr>
          <w:rFonts w:ascii="Times New Roman" w:eastAsia="Times New Roman" w:hAnsi="Times New Roman" w:cs="Times New Roman"/>
          <w:b/>
          <w:sz w:val="18"/>
          <w:szCs w:val="18"/>
        </w:rPr>
        <w:t xml:space="preserve">Дані зміни до Комерційної пропозиції розроблені у відповідності до вимог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Цивільного кодексу України та Господарського кодексу України. </w:t>
      </w:r>
    </w:p>
    <w:p w:rsidR="009B56F0" w:rsidRPr="00807E9E" w:rsidRDefault="0049370A" w:rsidP="00807E9E">
      <w:pPr>
        <w:spacing w:after="22" w:line="240" w:lineRule="auto"/>
        <w:ind w:left="778"/>
        <w:rPr>
          <w:sz w:val="18"/>
          <w:szCs w:val="18"/>
        </w:rPr>
      </w:pPr>
      <w:r w:rsidRPr="00807E9E">
        <w:rPr>
          <w:rFonts w:ascii="Times New Roman" w:eastAsia="Times New Roman" w:hAnsi="Times New Roman" w:cs="Times New Roman"/>
          <w:b/>
          <w:sz w:val="18"/>
          <w:szCs w:val="18"/>
        </w:rPr>
        <w:t xml:space="preserve"> </w:t>
      </w:r>
    </w:p>
    <w:p w:rsidR="009B56F0" w:rsidRPr="00807E9E" w:rsidRDefault="0049370A" w:rsidP="00807E9E">
      <w:pPr>
        <w:numPr>
          <w:ilvl w:val="0"/>
          <w:numId w:val="1"/>
        </w:numPr>
        <w:spacing w:after="2" w:line="240" w:lineRule="auto"/>
        <w:ind w:right="16" w:hanging="567"/>
        <w:jc w:val="both"/>
        <w:rPr>
          <w:sz w:val="18"/>
          <w:szCs w:val="18"/>
        </w:rPr>
      </w:pPr>
      <w:r w:rsidRPr="00807E9E">
        <w:rPr>
          <w:rFonts w:ascii="Times New Roman" w:eastAsia="Times New Roman" w:hAnsi="Times New Roman" w:cs="Times New Roman"/>
          <w:b/>
          <w:sz w:val="18"/>
          <w:szCs w:val="18"/>
        </w:rPr>
        <w:t xml:space="preserve">Дана комерційна пропозиція набуває чинності з </w:t>
      </w:r>
      <w:r w:rsidR="00807E9E" w:rsidRPr="00807E9E">
        <w:rPr>
          <w:rFonts w:ascii="Times New Roman" w:eastAsia="Times New Roman" w:hAnsi="Times New Roman" w:cs="Times New Roman"/>
          <w:b/>
          <w:sz w:val="18"/>
          <w:szCs w:val="18"/>
        </w:rPr>
        <w:t>______________</w:t>
      </w:r>
      <w:r w:rsidRPr="00807E9E">
        <w:rPr>
          <w:rFonts w:ascii="Times New Roman" w:eastAsia="Times New Roman" w:hAnsi="Times New Roman" w:cs="Times New Roman"/>
          <w:b/>
          <w:sz w:val="18"/>
          <w:szCs w:val="18"/>
        </w:rPr>
        <w:t xml:space="preserve"> р</w:t>
      </w:r>
      <w:r w:rsidRPr="00807E9E">
        <w:rPr>
          <w:rFonts w:ascii="Times New Roman" w:eastAsia="Times New Roman" w:hAnsi="Times New Roman" w:cs="Times New Roman"/>
          <w:b/>
          <w:strike/>
          <w:sz w:val="18"/>
          <w:szCs w:val="18"/>
        </w:rPr>
        <w:t>.</w:t>
      </w:r>
      <w:r w:rsidRPr="00807E9E">
        <w:rPr>
          <w:rFonts w:ascii="Times New Roman" w:eastAsia="Times New Roman" w:hAnsi="Times New Roman" w:cs="Times New Roman"/>
          <w:b/>
          <w:sz w:val="18"/>
          <w:szCs w:val="18"/>
        </w:rPr>
        <w:t xml:space="preserve">  </w:t>
      </w:r>
    </w:p>
    <w:p w:rsidR="009B56F0" w:rsidRPr="00807E9E" w:rsidRDefault="0049370A" w:rsidP="00807E9E">
      <w:pPr>
        <w:spacing w:after="0" w:line="240" w:lineRule="auto"/>
        <w:ind w:left="418"/>
        <w:rPr>
          <w:sz w:val="18"/>
          <w:szCs w:val="18"/>
        </w:rPr>
      </w:pPr>
      <w:r w:rsidRPr="00807E9E">
        <w:rPr>
          <w:rFonts w:ascii="Times New Roman" w:eastAsia="Times New Roman" w:hAnsi="Times New Roman" w:cs="Times New Roman"/>
          <w:b/>
          <w:sz w:val="18"/>
          <w:szCs w:val="18"/>
        </w:rPr>
        <w:t xml:space="preserve"> </w:t>
      </w:r>
    </w:p>
    <w:tbl>
      <w:tblPr>
        <w:tblStyle w:val="a7"/>
        <w:tblW w:w="4995"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5076"/>
      </w:tblGrid>
      <w:tr w:rsidR="00470E69" w:rsidRPr="00482B7B" w:rsidTr="002966BB">
        <w:tc>
          <w:tcPr>
            <w:tcW w:w="2558" w:type="pct"/>
            <w:hideMark/>
          </w:tcPr>
          <w:p w:rsidR="00470E69" w:rsidRPr="00482B7B" w:rsidRDefault="00470E69" w:rsidP="002966BB">
            <w:pPr>
              <w:spacing w:line="360" w:lineRule="atLeast"/>
              <w:rPr>
                <w:color w:val="2A2928"/>
                <w:sz w:val="20"/>
                <w:szCs w:val="20"/>
                <w:u w:val="single"/>
              </w:rPr>
            </w:pPr>
            <w:bookmarkStart w:id="1" w:name="_Hlk16863636"/>
            <w:r w:rsidRPr="00482B7B">
              <w:rPr>
                <w:b/>
                <w:bCs/>
                <w:color w:val="2A2928"/>
                <w:sz w:val="20"/>
                <w:szCs w:val="20"/>
                <w:u w:val="single"/>
              </w:rPr>
              <w:t>Постачальник:</w:t>
            </w:r>
          </w:p>
        </w:tc>
        <w:tc>
          <w:tcPr>
            <w:tcW w:w="2442" w:type="pct"/>
            <w:hideMark/>
          </w:tcPr>
          <w:p w:rsidR="00470E69" w:rsidRPr="00482B7B" w:rsidRDefault="00470E69" w:rsidP="002966BB">
            <w:pPr>
              <w:spacing w:line="360" w:lineRule="atLeast"/>
              <w:rPr>
                <w:color w:val="2A2928"/>
                <w:sz w:val="20"/>
                <w:szCs w:val="20"/>
                <w:u w:val="single"/>
              </w:rPr>
            </w:pPr>
            <w:r w:rsidRPr="00482B7B">
              <w:rPr>
                <w:b/>
                <w:bCs/>
                <w:color w:val="2A2928"/>
                <w:sz w:val="20"/>
                <w:szCs w:val="20"/>
                <w:u w:val="single"/>
              </w:rPr>
              <w:t>Споживач:</w:t>
            </w:r>
          </w:p>
        </w:tc>
      </w:tr>
      <w:tr w:rsidR="00470E69" w:rsidRPr="00042115" w:rsidTr="002966BB">
        <w:tc>
          <w:tcPr>
            <w:tcW w:w="2558" w:type="pct"/>
          </w:tcPr>
          <w:p w:rsidR="00470E69" w:rsidRPr="00042115" w:rsidRDefault="00470E69" w:rsidP="002966BB">
            <w:pPr>
              <w:rPr>
                <w:color w:val="auto"/>
                <w:sz w:val="20"/>
                <w:szCs w:val="20"/>
              </w:rPr>
            </w:pPr>
            <w:r w:rsidRPr="00042115">
              <w:rPr>
                <w:color w:val="auto"/>
                <w:sz w:val="20"/>
                <w:szCs w:val="20"/>
              </w:rPr>
              <w:t xml:space="preserve">Назва: ТОВ «Електрика України» </w:t>
            </w:r>
          </w:p>
          <w:p w:rsidR="00470E69" w:rsidRPr="00042115" w:rsidRDefault="00470E69" w:rsidP="002966BB">
            <w:pPr>
              <w:rPr>
                <w:color w:val="auto"/>
                <w:sz w:val="20"/>
                <w:szCs w:val="20"/>
              </w:rPr>
            </w:pPr>
          </w:p>
          <w:p w:rsidR="00470E69" w:rsidRPr="00042115" w:rsidRDefault="00470E69" w:rsidP="002966BB">
            <w:pPr>
              <w:rPr>
                <w:color w:val="auto"/>
                <w:sz w:val="20"/>
                <w:szCs w:val="20"/>
              </w:rPr>
            </w:pPr>
            <w:r w:rsidRPr="00042115">
              <w:rPr>
                <w:color w:val="auto"/>
                <w:sz w:val="20"/>
                <w:szCs w:val="20"/>
              </w:rPr>
              <w:t>Директор _________________________(Романчук В.І.)</w:t>
            </w:r>
          </w:p>
          <w:p w:rsidR="00470E69" w:rsidRPr="00042115" w:rsidRDefault="00470E69" w:rsidP="002966BB">
            <w:pPr>
              <w:rPr>
                <w:color w:val="auto"/>
                <w:sz w:val="20"/>
                <w:szCs w:val="20"/>
              </w:rPr>
            </w:pPr>
          </w:p>
          <w:p w:rsidR="00470E69" w:rsidRPr="00042115" w:rsidRDefault="00470E69" w:rsidP="002966BB">
            <w:pPr>
              <w:rPr>
                <w:color w:val="auto"/>
                <w:sz w:val="20"/>
                <w:szCs w:val="20"/>
              </w:rPr>
            </w:pPr>
            <w:r w:rsidRPr="00042115">
              <w:rPr>
                <w:color w:val="auto"/>
                <w:sz w:val="20"/>
                <w:szCs w:val="20"/>
              </w:rPr>
              <w:t>Дата_________________              МП</w:t>
            </w:r>
          </w:p>
        </w:tc>
        <w:tc>
          <w:tcPr>
            <w:tcW w:w="2442" w:type="pct"/>
          </w:tcPr>
          <w:p w:rsidR="00470E69" w:rsidRPr="00042115" w:rsidRDefault="00470E69" w:rsidP="002966BB">
            <w:pPr>
              <w:rPr>
                <w:color w:val="auto"/>
                <w:sz w:val="20"/>
                <w:szCs w:val="20"/>
              </w:rPr>
            </w:pPr>
            <w:r w:rsidRPr="00042115">
              <w:rPr>
                <w:color w:val="auto"/>
                <w:sz w:val="20"/>
                <w:szCs w:val="20"/>
              </w:rPr>
              <w:t xml:space="preserve">Назва: </w:t>
            </w:r>
          </w:p>
          <w:p w:rsidR="00470E69" w:rsidRDefault="00470E69" w:rsidP="002966BB">
            <w:pPr>
              <w:rPr>
                <w:color w:val="auto"/>
                <w:sz w:val="20"/>
                <w:szCs w:val="20"/>
              </w:rPr>
            </w:pPr>
          </w:p>
          <w:p w:rsidR="00470E69" w:rsidRPr="00042115" w:rsidRDefault="00470E69" w:rsidP="002966BB">
            <w:pPr>
              <w:rPr>
                <w:color w:val="auto"/>
                <w:sz w:val="20"/>
                <w:szCs w:val="20"/>
              </w:rPr>
            </w:pPr>
            <w:r w:rsidRPr="00042115">
              <w:rPr>
                <w:color w:val="auto"/>
                <w:sz w:val="20"/>
                <w:szCs w:val="20"/>
              </w:rPr>
              <w:t>Директор _____________(                          )</w:t>
            </w:r>
          </w:p>
          <w:p w:rsidR="00470E69" w:rsidRPr="00042115" w:rsidRDefault="00470E69" w:rsidP="002966BB">
            <w:pPr>
              <w:rPr>
                <w:color w:val="auto"/>
                <w:sz w:val="20"/>
                <w:szCs w:val="20"/>
              </w:rPr>
            </w:pPr>
          </w:p>
          <w:p w:rsidR="00470E69" w:rsidRPr="00042115" w:rsidRDefault="00470E69" w:rsidP="002966BB">
            <w:pPr>
              <w:rPr>
                <w:color w:val="auto"/>
                <w:sz w:val="20"/>
                <w:szCs w:val="20"/>
              </w:rPr>
            </w:pPr>
            <w:r w:rsidRPr="00042115">
              <w:rPr>
                <w:color w:val="auto"/>
                <w:sz w:val="20"/>
                <w:szCs w:val="20"/>
              </w:rPr>
              <w:t>Дата_________________                   МП</w:t>
            </w:r>
          </w:p>
          <w:p w:rsidR="00470E69" w:rsidRPr="00042115" w:rsidRDefault="00470E69" w:rsidP="002966BB">
            <w:pPr>
              <w:rPr>
                <w:color w:val="auto"/>
                <w:sz w:val="20"/>
                <w:szCs w:val="20"/>
              </w:rPr>
            </w:pPr>
          </w:p>
        </w:tc>
      </w:tr>
      <w:bookmarkEnd w:id="1"/>
    </w:tbl>
    <w:p w:rsidR="009B56F0" w:rsidRDefault="009B56F0" w:rsidP="00470E69">
      <w:pPr>
        <w:spacing w:after="17" w:line="240" w:lineRule="auto"/>
      </w:pPr>
    </w:p>
    <w:sectPr w:rsidR="009B56F0">
      <w:pgSz w:w="11906" w:h="16838"/>
      <w:pgMar w:top="574" w:right="566" w:bottom="643" w:left="936"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3D7D"/>
    <w:multiLevelType w:val="hybridMultilevel"/>
    <w:tmpl w:val="2A4CF3F2"/>
    <w:lvl w:ilvl="0" w:tplc="14C2DE64">
      <w:start w:val="1"/>
      <w:numFmt w:val="bullet"/>
      <w:lvlText w:val="✓"/>
      <w:lvlJc w:val="left"/>
      <w:pPr>
        <w:ind w:left="51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3E60546A">
      <w:start w:val="1"/>
      <w:numFmt w:val="bullet"/>
      <w:lvlText w:val="o"/>
      <w:lvlJc w:val="left"/>
      <w:pPr>
        <w:ind w:left="12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C4C2E81A">
      <w:start w:val="1"/>
      <w:numFmt w:val="bullet"/>
      <w:lvlText w:val="▪"/>
      <w:lvlJc w:val="left"/>
      <w:pPr>
        <w:ind w:left="20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D12C2FF0">
      <w:start w:val="1"/>
      <w:numFmt w:val="bullet"/>
      <w:lvlText w:val="•"/>
      <w:lvlJc w:val="left"/>
      <w:pPr>
        <w:ind w:left="27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572029C">
      <w:start w:val="1"/>
      <w:numFmt w:val="bullet"/>
      <w:lvlText w:val="o"/>
      <w:lvlJc w:val="left"/>
      <w:pPr>
        <w:ind w:left="344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6B88C0DE">
      <w:start w:val="1"/>
      <w:numFmt w:val="bullet"/>
      <w:lvlText w:val="▪"/>
      <w:lvlJc w:val="left"/>
      <w:pPr>
        <w:ind w:left="416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6AC16E6">
      <w:start w:val="1"/>
      <w:numFmt w:val="bullet"/>
      <w:lvlText w:val="•"/>
      <w:lvlJc w:val="left"/>
      <w:pPr>
        <w:ind w:left="48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EE8CF772">
      <w:start w:val="1"/>
      <w:numFmt w:val="bullet"/>
      <w:lvlText w:val="o"/>
      <w:lvlJc w:val="left"/>
      <w:pPr>
        <w:ind w:left="56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7FC06FEC">
      <w:start w:val="1"/>
      <w:numFmt w:val="bullet"/>
      <w:lvlText w:val="▪"/>
      <w:lvlJc w:val="left"/>
      <w:pPr>
        <w:ind w:left="63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4F339DD"/>
    <w:multiLevelType w:val="hybridMultilevel"/>
    <w:tmpl w:val="0A26CEEE"/>
    <w:lvl w:ilvl="0" w:tplc="19A098E6">
      <w:start w:val="1"/>
      <w:numFmt w:val="decimal"/>
      <w:lvlText w:val="%1."/>
      <w:lvlJc w:val="left"/>
      <w:pPr>
        <w:ind w:left="7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CE6CF0">
      <w:start w:val="1"/>
      <w:numFmt w:val="bullet"/>
      <w:lvlText w:val="✓"/>
      <w:lvlJc w:val="left"/>
      <w:pPr>
        <w:ind w:left="7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2ACC7D4">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016F59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826029E">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A989E90">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32CB96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D465F3E">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BCE9FAC">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0E40FE"/>
    <w:multiLevelType w:val="hybridMultilevel"/>
    <w:tmpl w:val="111CE012"/>
    <w:lvl w:ilvl="0" w:tplc="C9B01078">
      <w:start w:val="1"/>
      <w:numFmt w:val="bullet"/>
      <w:lvlText w:val="-"/>
      <w:lvlJc w:val="left"/>
      <w:pPr>
        <w:ind w:left="5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9D6D91A">
      <w:start w:val="1"/>
      <w:numFmt w:val="bullet"/>
      <w:lvlText w:val="o"/>
      <w:lvlJc w:val="left"/>
      <w:pPr>
        <w:ind w:left="15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FF64D9E">
      <w:start w:val="1"/>
      <w:numFmt w:val="bullet"/>
      <w:lvlText w:val="▪"/>
      <w:lvlJc w:val="left"/>
      <w:pPr>
        <w:ind w:left="22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F143866">
      <w:start w:val="1"/>
      <w:numFmt w:val="bullet"/>
      <w:lvlText w:val="•"/>
      <w:lvlJc w:val="left"/>
      <w:pPr>
        <w:ind w:left="29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67A556E">
      <w:start w:val="1"/>
      <w:numFmt w:val="bullet"/>
      <w:lvlText w:val="o"/>
      <w:lvlJc w:val="left"/>
      <w:pPr>
        <w:ind w:left="37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2FC57C8">
      <w:start w:val="1"/>
      <w:numFmt w:val="bullet"/>
      <w:lvlText w:val="▪"/>
      <w:lvlJc w:val="left"/>
      <w:pPr>
        <w:ind w:left="44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1C083B0">
      <w:start w:val="1"/>
      <w:numFmt w:val="bullet"/>
      <w:lvlText w:val="•"/>
      <w:lvlJc w:val="left"/>
      <w:pPr>
        <w:ind w:left="51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B906F46">
      <w:start w:val="1"/>
      <w:numFmt w:val="bullet"/>
      <w:lvlText w:val="o"/>
      <w:lvlJc w:val="left"/>
      <w:pPr>
        <w:ind w:left="58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5787CE2">
      <w:start w:val="1"/>
      <w:numFmt w:val="bullet"/>
      <w:lvlText w:val="▪"/>
      <w:lvlJc w:val="left"/>
      <w:pPr>
        <w:ind w:left="65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79B1B15"/>
    <w:multiLevelType w:val="hybridMultilevel"/>
    <w:tmpl w:val="EC2CD8C4"/>
    <w:lvl w:ilvl="0" w:tplc="5896EF3A">
      <w:start w:val="1"/>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0449A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A8D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2D1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DC1C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6A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CADA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8EB3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8D8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110425"/>
    <w:multiLevelType w:val="hybridMultilevel"/>
    <w:tmpl w:val="75D04A1E"/>
    <w:lvl w:ilvl="0" w:tplc="C9B01078">
      <w:start w:val="1"/>
      <w:numFmt w:val="bullet"/>
      <w:lvlText w:val="-"/>
      <w:lvlJc w:val="left"/>
      <w:pPr>
        <w:ind w:left="72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F0"/>
    <w:rsid w:val="001970DF"/>
    <w:rsid w:val="00373D8E"/>
    <w:rsid w:val="003A1C81"/>
    <w:rsid w:val="0046437A"/>
    <w:rsid w:val="00470E69"/>
    <w:rsid w:val="0049370A"/>
    <w:rsid w:val="00667480"/>
    <w:rsid w:val="00693EE5"/>
    <w:rsid w:val="00736457"/>
    <w:rsid w:val="00761423"/>
    <w:rsid w:val="007C72BA"/>
    <w:rsid w:val="00801ACA"/>
    <w:rsid w:val="00807E9E"/>
    <w:rsid w:val="009B56F0"/>
    <w:rsid w:val="00A45423"/>
    <w:rsid w:val="00BB7A0C"/>
    <w:rsid w:val="00BD5202"/>
    <w:rsid w:val="00D026C1"/>
    <w:rsid w:val="00E42191"/>
    <w:rsid w:val="00F679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F074"/>
  <w15:docId w15:val="{196D84B0-45ED-4062-B0C6-CD262845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937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370A"/>
    <w:rPr>
      <w:rFonts w:ascii="Segoe UI" w:eastAsia="Calibri" w:hAnsi="Segoe UI" w:cs="Segoe UI"/>
      <w:color w:val="000000"/>
      <w:sz w:val="18"/>
      <w:szCs w:val="18"/>
    </w:rPr>
  </w:style>
  <w:style w:type="paragraph" w:styleId="a5">
    <w:name w:val="List Paragraph"/>
    <w:basedOn w:val="a"/>
    <w:uiPriority w:val="34"/>
    <w:qFormat/>
    <w:rsid w:val="0049370A"/>
    <w:pPr>
      <w:ind w:left="720"/>
      <w:contextualSpacing/>
    </w:pPr>
  </w:style>
  <w:style w:type="character" w:styleId="a6">
    <w:name w:val="Placeholder Text"/>
    <w:basedOn w:val="a0"/>
    <w:uiPriority w:val="99"/>
    <w:semiHidden/>
    <w:rsid w:val="00D026C1"/>
    <w:rPr>
      <w:color w:val="808080"/>
    </w:rPr>
  </w:style>
  <w:style w:type="table" w:styleId="a7">
    <w:name w:val="Table Grid"/>
    <w:basedOn w:val="a1"/>
    <w:uiPriority w:val="39"/>
    <w:rsid w:val="0047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70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z.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4096</TotalTime>
  <Pages>3</Pages>
  <Words>1586</Words>
  <Characters>9042</Characters>
  <Application>Microsoft Office Word</Application>
  <DocSecurity>0</DocSecurity>
  <Lines>75</Lines>
  <Paragraphs>21</Paragraphs>
  <ScaleCrop>false</ScaleCrop>
  <HeadingPairs>
    <vt:vector size="2" baseType="variant">
      <vt:variant>
        <vt:lpstr>Назва</vt:lpstr>
      </vt:variant>
      <vt:variant>
        <vt:i4>1</vt:i4>
      </vt:variant>
    </vt:vector>
  </HeadingPairs>
  <TitlesOfParts>
    <vt:vector size="1" baseType="lpstr">
      <vt:lpstr>Додаток №2</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Anatoliy Surin</dc:creator>
  <cp:keywords/>
  <cp:lastModifiedBy>Ігор Кагало</cp:lastModifiedBy>
  <cp:revision>12</cp:revision>
  <dcterms:created xsi:type="dcterms:W3CDTF">2019-08-14T13:27:00Z</dcterms:created>
  <dcterms:modified xsi:type="dcterms:W3CDTF">2020-07-29T10:11:00Z</dcterms:modified>
</cp:coreProperties>
</file>